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05B" w:rsidRDefault="005A5DDC" w:rsidP="00253688">
      <w:pPr>
        <w:pStyle w:val="Title"/>
      </w:pPr>
      <w:r w:rsidRPr="00253688">
        <w:t>The Title Should Contain Subject of This Paper (Times New Roman 24pt, Centered, Title Case, Max 3 Lines)</w:t>
      </w:r>
    </w:p>
    <w:p w:rsidR="005A5DDC" w:rsidRDefault="005A5DDC" w:rsidP="005A5DDC"/>
    <w:p w:rsidR="00EC4E72" w:rsidRDefault="00EC4E72" w:rsidP="00EC4E72">
      <w:pPr>
        <w:pStyle w:val="Heading1"/>
        <w:numPr>
          <w:ilvl w:val="0"/>
          <w:numId w:val="0"/>
        </w:numPr>
        <w:ind w:left="432" w:hanging="432"/>
      </w:pPr>
      <w:r>
        <w:t>ABSTRACT</w:t>
      </w:r>
    </w:p>
    <w:p w:rsidR="00EC4E72" w:rsidRDefault="00EC4E72" w:rsidP="00EC4E72">
      <w:pPr>
        <w:rPr>
          <w:noProof/>
        </w:rPr>
      </w:pPr>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 Duis in lacus eleifend, cursus dolor quis, finibus lorem. Duis in tincidunt quam. Etiam interdum aliquam nisi, in commodo felis lacinia nec. Nullam cursus et eros nec sagittis. Ut lobortis bibendum elit vel rhoncus. Nulla tristique euismod nisl blandit aliquet. Duis id dui semper metus sollicitudin pellentesque. Praesent interdum eleifend eros, vel vehicula velit aliquam in. Maecenas quis purus turpis. Nulla elit orci, varius sit amet molestie a, iaculis a odio. Vestibulum feugiat venenatis auctor. Morbi fringilla ante id dictum.</w:t>
      </w:r>
      <w:r>
        <w:rPr>
          <w:noProof/>
        </w:rPr>
        <w:t xml:space="preserve"> </w:t>
      </w:r>
    </w:p>
    <w:p w:rsidR="00EC4E72" w:rsidRPr="00EC4E72" w:rsidRDefault="00EC4E72" w:rsidP="00EC4E72">
      <w:pPr>
        <w:pStyle w:val="NoSpacing"/>
        <w:rPr>
          <w:noProof/>
        </w:rPr>
      </w:pPr>
      <w:r>
        <w:t>Keywords: a</w:t>
      </w:r>
      <w:r w:rsidRPr="0050431E">
        <w:t>rtificial intelligence</w:t>
      </w:r>
      <w:r>
        <w:t>, b</w:t>
      </w:r>
      <w:r w:rsidRPr="0050431E">
        <w:t>lockchain</w:t>
      </w:r>
      <w:r>
        <w:t>, c</w:t>
      </w:r>
      <w:r w:rsidRPr="0050431E">
        <w:t>ryptocurrency</w:t>
      </w:r>
      <w:r>
        <w:t>, i</w:t>
      </w:r>
      <w:r w:rsidRPr="0050431E">
        <w:t>nternet of things</w:t>
      </w:r>
      <w:r>
        <w:t>, s</w:t>
      </w:r>
      <w:r w:rsidRPr="0050431E">
        <w:t>oftware development life cycle</w:t>
      </w:r>
      <w:r>
        <w:t>.</w:t>
      </w:r>
    </w:p>
    <w:p w:rsidR="005A6E1B" w:rsidRDefault="005A6E1B" w:rsidP="005A6E1B">
      <w:pPr>
        <w:pStyle w:val="Heading1"/>
      </w:pPr>
      <w:r w:rsidRPr="005A6E1B">
        <w:t>INTRODUCTION</w:t>
      </w:r>
    </w:p>
    <w:p w:rsidR="005A6E1B" w:rsidRDefault="005A6E1B" w:rsidP="005A6E1B">
      <w:r>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Pr="005A6E1B" w:rsidRDefault="005A6E1B" w:rsidP="005A6E1B">
      <w:r>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Default="005A6E1B" w:rsidP="005A6E1B">
      <w:pPr>
        <w:pStyle w:val="Heading1"/>
      </w:pPr>
      <w:r>
        <w:t>METHODS</w:t>
      </w:r>
    </w:p>
    <w:p w:rsidR="005A6E1B" w:rsidRDefault="005A6E1B" w:rsidP="005A6E1B">
      <w:r>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Default="005A6E1B" w:rsidP="005A6E1B">
      <w:r>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911954" w:rsidRDefault="005A6E1B" w:rsidP="00911954">
      <w:pPr>
        <w:keepNext/>
        <w:jc w:val="center"/>
      </w:pPr>
      <w:r w:rsidRPr="00AD164F">
        <w:rPr>
          <w:noProof/>
        </w:rPr>
        <w:lastRenderedPageBreak/>
        <w:drawing>
          <wp:inline distT="0" distB="0" distL="0" distR="0" wp14:anchorId="16A1CF68" wp14:editId="589E7AC2">
            <wp:extent cx="2525933" cy="1800000"/>
            <wp:effectExtent l="12700" t="12700" r="14605" b="16510"/>
            <wp:docPr id="198961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14250" name=""/>
                    <pic:cNvPicPr/>
                  </pic:nvPicPr>
                  <pic:blipFill>
                    <a:blip r:embed="rId5"/>
                    <a:stretch>
                      <a:fillRect/>
                    </a:stretch>
                  </pic:blipFill>
                  <pic:spPr>
                    <a:xfrm>
                      <a:off x="0" y="0"/>
                      <a:ext cx="2525933" cy="1800000"/>
                    </a:xfrm>
                    <a:prstGeom prst="rect">
                      <a:avLst/>
                    </a:prstGeom>
                    <a:ln w="6350">
                      <a:solidFill>
                        <a:schemeClr val="tx1"/>
                      </a:solidFill>
                    </a:ln>
                  </pic:spPr>
                </pic:pic>
              </a:graphicData>
            </a:graphic>
          </wp:inline>
        </w:drawing>
      </w:r>
      <w:r w:rsidRPr="00AD164F">
        <w:rPr>
          <w:noProof/>
        </w:rPr>
        <w:drawing>
          <wp:inline distT="0" distB="0" distL="0" distR="0" wp14:anchorId="136E4D6F" wp14:editId="099D65E2">
            <wp:extent cx="1728000" cy="1800000"/>
            <wp:effectExtent l="12700" t="12700" r="12065" b="16510"/>
            <wp:docPr id="55538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87639" name=""/>
                    <pic:cNvPicPr/>
                  </pic:nvPicPr>
                  <pic:blipFill>
                    <a:blip r:embed="rId6"/>
                    <a:stretch>
                      <a:fillRect/>
                    </a:stretch>
                  </pic:blipFill>
                  <pic:spPr>
                    <a:xfrm>
                      <a:off x="0" y="0"/>
                      <a:ext cx="1728000" cy="1800000"/>
                    </a:xfrm>
                    <a:prstGeom prst="rect">
                      <a:avLst/>
                    </a:prstGeom>
                    <a:ln w="6350">
                      <a:solidFill>
                        <a:schemeClr val="tx1"/>
                      </a:solidFill>
                    </a:ln>
                  </pic:spPr>
                </pic:pic>
              </a:graphicData>
            </a:graphic>
          </wp:inline>
        </w:drawing>
      </w:r>
    </w:p>
    <w:p w:rsidR="005A6E1B" w:rsidRPr="00853C51" w:rsidRDefault="00911954" w:rsidP="00911954">
      <w:pPr>
        <w:pStyle w:val="Caption"/>
        <w:jc w:val="center"/>
        <w:rPr>
          <w:color w:val="auto"/>
        </w:rPr>
      </w:pPr>
      <w:r w:rsidRPr="00853C51">
        <w:rPr>
          <w:color w:val="auto"/>
        </w:rPr>
        <w:t xml:space="preserve">Figure </w:t>
      </w:r>
      <w:r w:rsidRPr="00853C51">
        <w:rPr>
          <w:color w:val="auto"/>
        </w:rPr>
        <w:fldChar w:fldCharType="begin"/>
      </w:r>
      <w:r w:rsidRPr="00853C51">
        <w:rPr>
          <w:color w:val="auto"/>
        </w:rPr>
        <w:instrText xml:space="preserve"> SEQ Figure \* ARABIC </w:instrText>
      </w:r>
      <w:r w:rsidRPr="00853C51">
        <w:rPr>
          <w:color w:val="auto"/>
        </w:rPr>
        <w:fldChar w:fldCharType="separate"/>
      </w:r>
      <w:r w:rsidRPr="00853C51">
        <w:rPr>
          <w:noProof/>
          <w:color w:val="auto"/>
        </w:rPr>
        <w:t>1</w:t>
      </w:r>
      <w:r w:rsidRPr="00853C51">
        <w:rPr>
          <w:noProof/>
          <w:color w:val="auto"/>
        </w:rPr>
        <w:fldChar w:fldCharType="end"/>
      </w:r>
      <w:r w:rsidRPr="00853C51">
        <w:rPr>
          <w:color w:val="auto"/>
          <w:lang w:val="en-US"/>
        </w:rPr>
        <w:t>. Cost per product: by value (left); by percent (right)</w:t>
      </w:r>
    </w:p>
    <w:p w:rsidR="005A6E1B" w:rsidRDefault="005A6E1B" w:rsidP="005A6E1B">
      <w:r w:rsidRPr="005A6E1B">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Default="005A6E1B" w:rsidP="005A6E1B"/>
    <w:p w:rsidR="005A6E1B" w:rsidRPr="00853C51" w:rsidRDefault="005A6E1B" w:rsidP="005A6E1B">
      <w:pPr>
        <w:pStyle w:val="Caption"/>
        <w:keepNext/>
        <w:rPr>
          <w:color w:val="auto"/>
        </w:rPr>
      </w:pPr>
      <w:r w:rsidRPr="00853C51">
        <w:rPr>
          <w:color w:val="auto"/>
        </w:rPr>
        <w:t xml:space="preserve">Table </w:t>
      </w:r>
      <w:r w:rsidRPr="00853C51">
        <w:rPr>
          <w:color w:val="auto"/>
        </w:rPr>
        <w:fldChar w:fldCharType="begin"/>
      </w:r>
      <w:r w:rsidRPr="00853C51">
        <w:rPr>
          <w:color w:val="auto"/>
        </w:rPr>
        <w:instrText xml:space="preserve"> SEQ Table \* ARABIC </w:instrText>
      </w:r>
      <w:r w:rsidRPr="00853C51">
        <w:rPr>
          <w:color w:val="auto"/>
        </w:rPr>
        <w:fldChar w:fldCharType="separate"/>
      </w:r>
      <w:r w:rsidRPr="00853C51">
        <w:rPr>
          <w:noProof/>
          <w:color w:val="auto"/>
        </w:rPr>
        <w:t>1</w:t>
      </w:r>
      <w:r w:rsidRPr="00853C51">
        <w:rPr>
          <w:noProof/>
          <w:color w:val="auto"/>
        </w:rPr>
        <w:fldChar w:fldCharType="end"/>
      </w:r>
      <w:r w:rsidRPr="00853C51">
        <w:rPr>
          <w:color w:val="auto"/>
          <w:lang w:val="en-US"/>
        </w:rPr>
        <w:t>. Cost per product</w:t>
      </w:r>
    </w:p>
    <w:tbl>
      <w:tblPr>
        <w:tblStyle w:val="TableGrid"/>
        <w:tblW w:w="0" w:type="auto"/>
        <w:tblLook w:val="04A0" w:firstRow="1" w:lastRow="0" w:firstColumn="1" w:lastColumn="0" w:noHBand="0" w:noVBand="1"/>
      </w:tblPr>
      <w:tblGrid>
        <w:gridCol w:w="886"/>
        <w:gridCol w:w="891"/>
        <w:gridCol w:w="899"/>
        <w:gridCol w:w="885"/>
        <w:gridCol w:w="936"/>
        <w:gridCol w:w="907"/>
        <w:gridCol w:w="887"/>
        <w:gridCol w:w="892"/>
        <w:gridCol w:w="897"/>
        <w:gridCol w:w="936"/>
      </w:tblGrid>
      <w:tr w:rsidR="005A6E1B" w:rsidRPr="00886946" w:rsidTr="006A06FC">
        <w:tc>
          <w:tcPr>
            <w:tcW w:w="886" w:type="dxa"/>
          </w:tcPr>
          <w:p w:rsidR="005A6E1B" w:rsidRPr="00886946" w:rsidRDefault="005A6E1B" w:rsidP="006A06FC">
            <w:pPr>
              <w:pStyle w:val="NoSpacing"/>
              <w:jc w:val="center"/>
              <w:rPr>
                <w:b/>
                <w:bCs/>
              </w:rPr>
            </w:pPr>
            <w:r w:rsidRPr="00886946">
              <w:rPr>
                <w:b/>
                <w:bCs/>
              </w:rPr>
              <w:t>Item</w:t>
            </w:r>
          </w:p>
        </w:tc>
        <w:tc>
          <w:tcPr>
            <w:tcW w:w="891" w:type="dxa"/>
          </w:tcPr>
          <w:p w:rsidR="005A6E1B" w:rsidRPr="00886946" w:rsidRDefault="005A6E1B" w:rsidP="006A06FC">
            <w:pPr>
              <w:pStyle w:val="NoSpacing"/>
              <w:jc w:val="center"/>
              <w:rPr>
                <w:b/>
                <w:bCs/>
              </w:rPr>
            </w:pPr>
            <w:r w:rsidRPr="00886946">
              <w:rPr>
                <w:b/>
                <w:bCs/>
              </w:rPr>
              <w:t>Cost Per Item</w:t>
            </w:r>
          </w:p>
        </w:tc>
        <w:tc>
          <w:tcPr>
            <w:tcW w:w="899" w:type="dxa"/>
          </w:tcPr>
          <w:p w:rsidR="005A6E1B" w:rsidRPr="00886946" w:rsidRDefault="005A6E1B" w:rsidP="006A06FC">
            <w:pPr>
              <w:pStyle w:val="NoSpacing"/>
              <w:jc w:val="center"/>
              <w:rPr>
                <w:b/>
                <w:bCs/>
              </w:rPr>
            </w:pPr>
            <w:r w:rsidRPr="00886946">
              <w:rPr>
                <w:b/>
                <w:bCs/>
              </w:rPr>
              <w:t>Percent Markup</w:t>
            </w:r>
          </w:p>
        </w:tc>
        <w:tc>
          <w:tcPr>
            <w:tcW w:w="885" w:type="dxa"/>
          </w:tcPr>
          <w:p w:rsidR="005A6E1B" w:rsidRPr="00886946" w:rsidRDefault="005A6E1B" w:rsidP="006A06FC">
            <w:pPr>
              <w:pStyle w:val="NoSpacing"/>
              <w:jc w:val="center"/>
              <w:rPr>
                <w:b/>
                <w:bCs/>
              </w:rPr>
            </w:pPr>
            <w:r w:rsidRPr="00886946">
              <w:rPr>
                <w:b/>
                <w:bCs/>
              </w:rPr>
              <w:t>Total Sold</w:t>
            </w:r>
          </w:p>
        </w:tc>
        <w:tc>
          <w:tcPr>
            <w:tcW w:w="936" w:type="dxa"/>
          </w:tcPr>
          <w:p w:rsidR="005A6E1B" w:rsidRPr="00886946" w:rsidRDefault="005A6E1B" w:rsidP="006A06FC">
            <w:pPr>
              <w:pStyle w:val="NoSpacing"/>
              <w:jc w:val="center"/>
              <w:rPr>
                <w:b/>
                <w:bCs/>
              </w:rPr>
            </w:pPr>
            <w:r w:rsidRPr="00886946">
              <w:rPr>
                <w:b/>
                <w:bCs/>
              </w:rPr>
              <w:t>Total Revenue</w:t>
            </w:r>
          </w:p>
        </w:tc>
        <w:tc>
          <w:tcPr>
            <w:tcW w:w="907" w:type="dxa"/>
          </w:tcPr>
          <w:p w:rsidR="005A6E1B" w:rsidRPr="00886946" w:rsidRDefault="005A6E1B" w:rsidP="006A06FC">
            <w:pPr>
              <w:pStyle w:val="NoSpacing"/>
              <w:jc w:val="center"/>
              <w:rPr>
                <w:b/>
                <w:bCs/>
              </w:rPr>
            </w:pPr>
            <w:r w:rsidRPr="00886946">
              <w:rPr>
                <w:b/>
                <w:bCs/>
              </w:rPr>
              <w:t>Shipping Charge</w:t>
            </w:r>
          </w:p>
        </w:tc>
        <w:tc>
          <w:tcPr>
            <w:tcW w:w="887" w:type="dxa"/>
          </w:tcPr>
          <w:p w:rsidR="005A6E1B" w:rsidRPr="00886946" w:rsidRDefault="005A6E1B" w:rsidP="006A06FC">
            <w:pPr>
              <w:pStyle w:val="NoSpacing"/>
              <w:jc w:val="center"/>
              <w:rPr>
                <w:b/>
                <w:bCs/>
              </w:rPr>
            </w:pPr>
            <w:r w:rsidRPr="00886946">
              <w:rPr>
                <w:b/>
                <w:bCs/>
              </w:rPr>
              <w:t>Item</w:t>
            </w:r>
          </w:p>
        </w:tc>
        <w:tc>
          <w:tcPr>
            <w:tcW w:w="892" w:type="dxa"/>
          </w:tcPr>
          <w:p w:rsidR="005A6E1B" w:rsidRPr="00886946" w:rsidRDefault="005A6E1B" w:rsidP="006A06FC">
            <w:pPr>
              <w:pStyle w:val="NoSpacing"/>
              <w:jc w:val="center"/>
              <w:rPr>
                <w:b/>
                <w:bCs/>
              </w:rPr>
            </w:pPr>
            <w:r w:rsidRPr="00886946">
              <w:rPr>
                <w:b/>
                <w:bCs/>
              </w:rPr>
              <w:t>Cost Per Item</w:t>
            </w:r>
          </w:p>
        </w:tc>
        <w:tc>
          <w:tcPr>
            <w:tcW w:w="897" w:type="dxa"/>
          </w:tcPr>
          <w:p w:rsidR="005A6E1B" w:rsidRPr="00886946" w:rsidRDefault="005A6E1B" w:rsidP="006A06FC">
            <w:pPr>
              <w:pStyle w:val="NoSpacing"/>
              <w:jc w:val="center"/>
              <w:rPr>
                <w:b/>
                <w:bCs/>
              </w:rPr>
            </w:pPr>
            <w:r w:rsidRPr="00886946">
              <w:rPr>
                <w:b/>
                <w:bCs/>
              </w:rPr>
              <w:t>Percent Markup</w:t>
            </w:r>
          </w:p>
        </w:tc>
        <w:tc>
          <w:tcPr>
            <w:tcW w:w="936" w:type="dxa"/>
          </w:tcPr>
          <w:p w:rsidR="005A6E1B" w:rsidRPr="00886946" w:rsidRDefault="005A6E1B" w:rsidP="006A06FC">
            <w:pPr>
              <w:pStyle w:val="NoSpacing"/>
              <w:jc w:val="center"/>
              <w:rPr>
                <w:b/>
                <w:bCs/>
              </w:rPr>
            </w:pPr>
            <w:r w:rsidRPr="00886946">
              <w:rPr>
                <w:b/>
                <w:bCs/>
              </w:rPr>
              <w:t>Total Sold</w:t>
            </w:r>
          </w:p>
        </w:tc>
      </w:tr>
      <w:tr w:rsidR="005A6E1B" w:rsidRPr="00886946" w:rsidTr="006A06FC">
        <w:tc>
          <w:tcPr>
            <w:tcW w:w="886" w:type="dxa"/>
          </w:tcPr>
          <w:p w:rsidR="005A6E1B" w:rsidRPr="00886946" w:rsidRDefault="005A6E1B" w:rsidP="006A06FC">
            <w:pPr>
              <w:spacing w:after="0"/>
            </w:pPr>
            <w:r w:rsidRPr="00886946">
              <w:t>[Item 1]</w:t>
            </w:r>
          </w:p>
        </w:tc>
        <w:tc>
          <w:tcPr>
            <w:tcW w:w="891" w:type="dxa"/>
          </w:tcPr>
          <w:p w:rsidR="005A6E1B" w:rsidRPr="00886946" w:rsidRDefault="005A6E1B" w:rsidP="006A06FC">
            <w:pPr>
              <w:spacing w:after="0"/>
              <w:jc w:val="right"/>
            </w:pPr>
            <w:r w:rsidRPr="00886946">
              <w:t>$52,00</w:t>
            </w:r>
          </w:p>
        </w:tc>
        <w:tc>
          <w:tcPr>
            <w:tcW w:w="899" w:type="dxa"/>
          </w:tcPr>
          <w:p w:rsidR="005A6E1B" w:rsidRPr="00886946" w:rsidRDefault="005A6E1B" w:rsidP="006A06FC">
            <w:pPr>
              <w:spacing w:after="0"/>
              <w:jc w:val="right"/>
            </w:pPr>
            <w:r w:rsidRPr="00886946">
              <w:t>100,00%</w:t>
            </w:r>
          </w:p>
        </w:tc>
        <w:tc>
          <w:tcPr>
            <w:tcW w:w="885" w:type="dxa"/>
          </w:tcPr>
          <w:p w:rsidR="005A6E1B" w:rsidRPr="00886946" w:rsidRDefault="005A6E1B" w:rsidP="006A06FC">
            <w:pPr>
              <w:spacing w:after="0"/>
              <w:jc w:val="right"/>
            </w:pPr>
            <w:r w:rsidRPr="00886946">
              <w:t>15</w:t>
            </w:r>
          </w:p>
        </w:tc>
        <w:tc>
          <w:tcPr>
            <w:tcW w:w="936" w:type="dxa"/>
          </w:tcPr>
          <w:p w:rsidR="005A6E1B" w:rsidRPr="00886946" w:rsidRDefault="005A6E1B" w:rsidP="006A06FC">
            <w:pPr>
              <w:spacing w:after="0"/>
              <w:jc w:val="right"/>
            </w:pPr>
            <w:r w:rsidRPr="00886946">
              <w:t>$1.560,00</w:t>
            </w:r>
          </w:p>
        </w:tc>
        <w:tc>
          <w:tcPr>
            <w:tcW w:w="907" w:type="dxa"/>
          </w:tcPr>
          <w:p w:rsidR="005A6E1B" w:rsidRPr="00886946" w:rsidRDefault="005A6E1B" w:rsidP="006A06FC">
            <w:pPr>
              <w:spacing w:after="0"/>
              <w:jc w:val="right"/>
            </w:pPr>
            <w:r w:rsidRPr="00886946">
              <w:t>$10,00</w:t>
            </w:r>
          </w:p>
        </w:tc>
        <w:tc>
          <w:tcPr>
            <w:tcW w:w="887" w:type="dxa"/>
          </w:tcPr>
          <w:p w:rsidR="005A6E1B" w:rsidRPr="00886946" w:rsidRDefault="005A6E1B" w:rsidP="006A06FC">
            <w:pPr>
              <w:spacing w:after="0"/>
              <w:jc w:val="right"/>
            </w:pPr>
            <w:r w:rsidRPr="00886946">
              <w:t>$5,75</w:t>
            </w:r>
          </w:p>
        </w:tc>
        <w:tc>
          <w:tcPr>
            <w:tcW w:w="892" w:type="dxa"/>
          </w:tcPr>
          <w:p w:rsidR="005A6E1B" w:rsidRPr="00886946" w:rsidRDefault="005A6E1B" w:rsidP="006A06FC">
            <w:pPr>
              <w:spacing w:after="0"/>
              <w:jc w:val="right"/>
            </w:pPr>
            <w:r w:rsidRPr="00886946">
              <w:t>$56,25</w:t>
            </w:r>
          </w:p>
        </w:tc>
        <w:tc>
          <w:tcPr>
            <w:tcW w:w="897" w:type="dxa"/>
          </w:tcPr>
          <w:p w:rsidR="005A6E1B" w:rsidRPr="00886946" w:rsidRDefault="005A6E1B" w:rsidP="006A06FC">
            <w:pPr>
              <w:spacing w:after="0"/>
              <w:jc w:val="right"/>
            </w:pPr>
            <w:r w:rsidRPr="00886946">
              <w:t>2</w:t>
            </w:r>
          </w:p>
        </w:tc>
        <w:tc>
          <w:tcPr>
            <w:tcW w:w="936" w:type="dxa"/>
          </w:tcPr>
          <w:p w:rsidR="005A6E1B" w:rsidRPr="00886946" w:rsidRDefault="005A6E1B" w:rsidP="006A06FC">
            <w:pPr>
              <w:spacing w:after="0"/>
              <w:jc w:val="right"/>
            </w:pPr>
            <w:r w:rsidRPr="00886946">
              <w:t>$742,75</w:t>
            </w:r>
          </w:p>
        </w:tc>
      </w:tr>
      <w:tr w:rsidR="005A6E1B" w:rsidRPr="00886946" w:rsidTr="006A06FC">
        <w:tc>
          <w:tcPr>
            <w:tcW w:w="886" w:type="dxa"/>
          </w:tcPr>
          <w:p w:rsidR="005A6E1B" w:rsidRPr="00886946" w:rsidRDefault="005A6E1B" w:rsidP="006A06FC">
            <w:pPr>
              <w:spacing w:after="0"/>
            </w:pPr>
            <w:r w:rsidRPr="00886946">
              <w:t>[Item 2]</w:t>
            </w:r>
          </w:p>
        </w:tc>
        <w:tc>
          <w:tcPr>
            <w:tcW w:w="891" w:type="dxa"/>
          </w:tcPr>
          <w:p w:rsidR="005A6E1B" w:rsidRPr="00886946" w:rsidRDefault="005A6E1B" w:rsidP="006A06FC">
            <w:pPr>
              <w:spacing w:after="0"/>
              <w:jc w:val="right"/>
            </w:pPr>
            <w:r w:rsidRPr="00886946">
              <w:t>$48,00</w:t>
            </w:r>
          </w:p>
        </w:tc>
        <w:tc>
          <w:tcPr>
            <w:tcW w:w="899" w:type="dxa"/>
          </w:tcPr>
          <w:p w:rsidR="005A6E1B" w:rsidRPr="00886946" w:rsidRDefault="005A6E1B" w:rsidP="006A06FC">
            <w:pPr>
              <w:spacing w:after="0"/>
              <w:jc w:val="right"/>
            </w:pPr>
            <w:r w:rsidRPr="00886946">
              <w:t>75,00%</w:t>
            </w:r>
          </w:p>
        </w:tc>
        <w:tc>
          <w:tcPr>
            <w:tcW w:w="885" w:type="dxa"/>
          </w:tcPr>
          <w:p w:rsidR="005A6E1B" w:rsidRPr="00886946" w:rsidRDefault="005A6E1B" w:rsidP="006A06FC">
            <w:pPr>
              <w:spacing w:after="0"/>
              <w:jc w:val="right"/>
            </w:pPr>
            <w:r w:rsidRPr="00886946">
              <w:t>18</w:t>
            </w:r>
          </w:p>
        </w:tc>
        <w:tc>
          <w:tcPr>
            <w:tcW w:w="936" w:type="dxa"/>
          </w:tcPr>
          <w:p w:rsidR="005A6E1B" w:rsidRPr="00886946" w:rsidRDefault="005A6E1B" w:rsidP="006A06FC">
            <w:pPr>
              <w:spacing w:after="0"/>
              <w:jc w:val="right"/>
            </w:pPr>
            <w:r w:rsidRPr="00886946">
              <w:t>$1.512,00</w:t>
            </w:r>
          </w:p>
        </w:tc>
        <w:tc>
          <w:tcPr>
            <w:tcW w:w="907" w:type="dxa"/>
          </w:tcPr>
          <w:p w:rsidR="005A6E1B" w:rsidRPr="00886946" w:rsidRDefault="005A6E1B" w:rsidP="006A06FC">
            <w:pPr>
              <w:spacing w:after="0"/>
              <w:jc w:val="right"/>
            </w:pPr>
            <w:r w:rsidRPr="00886946">
              <w:t>$10,00</w:t>
            </w:r>
          </w:p>
        </w:tc>
        <w:tc>
          <w:tcPr>
            <w:tcW w:w="887" w:type="dxa"/>
          </w:tcPr>
          <w:p w:rsidR="005A6E1B" w:rsidRPr="00886946" w:rsidRDefault="005A6E1B" w:rsidP="006A06FC">
            <w:pPr>
              <w:spacing w:after="0"/>
              <w:jc w:val="right"/>
            </w:pPr>
            <w:r w:rsidRPr="00886946">
              <w:t>$5,75</w:t>
            </w:r>
          </w:p>
        </w:tc>
        <w:tc>
          <w:tcPr>
            <w:tcW w:w="892" w:type="dxa"/>
          </w:tcPr>
          <w:p w:rsidR="005A6E1B" w:rsidRPr="00886946" w:rsidRDefault="005A6E1B" w:rsidP="006A06FC">
            <w:pPr>
              <w:spacing w:after="0"/>
              <w:jc w:val="right"/>
            </w:pPr>
            <w:r w:rsidRPr="00886946">
              <w:t>$40,25</w:t>
            </w:r>
          </w:p>
        </w:tc>
        <w:tc>
          <w:tcPr>
            <w:tcW w:w="897" w:type="dxa"/>
          </w:tcPr>
          <w:p w:rsidR="005A6E1B" w:rsidRPr="00886946" w:rsidRDefault="005A6E1B" w:rsidP="006A06FC">
            <w:pPr>
              <w:spacing w:after="0"/>
              <w:jc w:val="right"/>
            </w:pPr>
            <w:r w:rsidRPr="00886946">
              <w:t>1</w:t>
            </w:r>
          </w:p>
        </w:tc>
        <w:tc>
          <w:tcPr>
            <w:tcW w:w="936" w:type="dxa"/>
          </w:tcPr>
          <w:p w:rsidR="005A6E1B" w:rsidRPr="00886946" w:rsidRDefault="005A6E1B" w:rsidP="006A06FC">
            <w:pPr>
              <w:spacing w:after="0"/>
              <w:jc w:val="right"/>
            </w:pPr>
            <w:r w:rsidRPr="00886946">
              <w:t>$690,00</w:t>
            </w:r>
          </w:p>
        </w:tc>
      </w:tr>
      <w:tr w:rsidR="005A6E1B" w:rsidRPr="00886946" w:rsidTr="006A06FC">
        <w:tc>
          <w:tcPr>
            <w:tcW w:w="886" w:type="dxa"/>
          </w:tcPr>
          <w:p w:rsidR="005A6E1B" w:rsidRPr="00886946" w:rsidRDefault="005A6E1B" w:rsidP="006A06FC">
            <w:pPr>
              <w:spacing w:after="0"/>
            </w:pPr>
            <w:r w:rsidRPr="00886946">
              <w:t>[Item 3]</w:t>
            </w:r>
          </w:p>
        </w:tc>
        <w:tc>
          <w:tcPr>
            <w:tcW w:w="891" w:type="dxa"/>
          </w:tcPr>
          <w:p w:rsidR="005A6E1B" w:rsidRPr="00886946" w:rsidRDefault="005A6E1B" w:rsidP="006A06FC">
            <w:pPr>
              <w:spacing w:after="0"/>
              <w:jc w:val="right"/>
            </w:pPr>
            <w:r w:rsidRPr="00886946">
              <w:t>$66,00</w:t>
            </w:r>
          </w:p>
        </w:tc>
        <w:tc>
          <w:tcPr>
            <w:tcW w:w="899" w:type="dxa"/>
          </w:tcPr>
          <w:p w:rsidR="005A6E1B" w:rsidRPr="00886946" w:rsidRDefault="005A6E1B" w:rsidP="006A06FC">
            <w:pPr>
              <w:spacing w:after="0"/>
              <w:jc w:val="right"/>
            </w:pPr>
            <w:r w:rsidRPr="00886946">
              <w:t>65,00%</w:t>
            </w:r>
          </w:p>
        </w:tc>
        <w:tc>
          <w:tcPr>
            <w:tcW w:w="885" w:type="dxa"/>
          </w:tcPr>
          <w:p w:rsidR="005A6E1B" w:rsidRPr="00886946" w:rsidRDefault="005A6E1B" w:rsidP="006A06FC">
            <w:pPr>
              <w:spacing w:after="0"/>
              <w:jc w:val="right"/>
            </w:pPr>
            <w:r w:rsidRPr="00886946">
              <w:t>20</w:t>
            </w:r>
          </w:p>
        </w:tc>
        <w:tc>
          <w:tcPr>
            <w:tcW w:w="936" w:type="dxa"/>
          </w:tcPr>
          <w:p w:rsidR="005A6E1B" w:rsidRPr="00886946" w:rsidRDefault="005A6E1B" w:rsidP="006A06FC">
            <w:pPr>
              <w:spacing w:after="0"/>
              <w:jc w:val="right"/>
            </w:pPr>
            <w:r w:rsidRPr="00886946">
              <w:t>$2.178,00</w:t>
            </w:r>
          </w:p>
        </w:tc>
        <w:tc>
          <w:tcPr>
            <w:tcW w:w="907" w:type="dxa"/>
          </w:tcPr>
          <w:p w:rsidR="005A6E1B" w:rsidRPr="00886946" w:rsidRDefault="005A6E1B" w:rsidP="006A06FC">
            <w:pPr>
              <w:spacing w:after="0"/>
              <w:jc w:val="right"/>
            </w:pPr>
            <w:r w:rsidRPr="00886946">
              <w:t>$10,00</w:t>
            </w:r>
          </w:p>
        </w:tc>
        <w:tc>
          <w:tcPr>
            <w:tcW w:w="887" w:type="dxa"/>
          </w:tcPr>
          <w:p w:rsidR="005A6E1B" w:rsidRPr="00886946" w:rsidRDefault="005A6E1B" w:rsidP="006A06FC">
            <w:pPr>
              <w:spacing w:after="0"/>
              <w:jc w:val="right"/>
            </w:pPr>
            <w:r w:rsidRPr="00886946">
              <w:t>$6,25</w:t>
            </w:r>
          </w:p>
        </w:tc>
        <w:tc>
          <w:tcPr>
            <w:tcW w:w="892" w:type="dxa"/>
          </w:tcPr>
          <w:p w:rsidR="005A6E1B" w:rsidRPr="00886946" w:rsidRDefault="005A6E1B" w:rsidP="006A06FC">
            <w:pPr>
              <w:spacing w:after="0"/>
              <w:jc w:val="right"/>
            </w:pPr>
            <w:r w:rsidRPr="00886946">
              <w:t>$46,65</w:t>
            </w:r>
          </w:p>
        </w:tc>
        <w:tc>
          <w:tcPr>
            <w:tcW w:w="897" w:type="dxa"/>
          </w:tcPr>
          <w:p w:rsidR="005A6E1B" w:rsidRPr="00886946" w:rsidRDefault="005A6E1B" w:rsidP="006A06FC">
            <w:pPr>
              <w:spacing w:after="0"/>
              <w:jc w:val="right"/>
            </w:pPr>
            <w:r w:rsidRPr="00886946">
              <w:t>0</w:t>
            </w:r>
          </w:p>
        </w:tc>
        <w:tc>
          <w:tcPr>
            <w:tcW w:w="936" w:type="dxa"/>
          </w:tcPr>
          <w:p w:rsidR="005A6E1B" w:rsidRPr="00886946" w:rsidRDefault="005A6E1B" w:rsidP="006A06FC">
            <w:pPr>
              <w:spacing w:after="0"/>
              <w:jc w:val="right"/>
            </w:pPr>
            <w:r w:rsidRPr="00886946">
              <w:t>$933,00</w:t>
            </w:r>
          </w:p>
        </w:tc>
      </w:tr>
      <w:tr w:rsidR="005A6E1B" w:rsidRPr="00886946" w:rsidTr="006A06FC">
        <w:tc>
          <w:tcPr>
            <w:tcW w:w="886" w:type="dxa"/>
          </w:tcPr>
          <w:p w:rsidR="005A6E1B" w:rsidRPr="00886946" w:rsidRDefault="005A6E1B" w:rsidP="006A06FC">
            <w:pPr>
              <w:spacing w:after="0"/>
            </w:pPr>
            <w:r w:rsidRPr="00886946">
              <w:t>[Item 4]</w:t>
            </w:r>
          </w:p>
        </w:tc>
        <w:tc>
          <w:tcPr>
            <w:tcW w:w="891" w:type="dxa"/>
          </w:tcPr>
          <w:p w:rsidR="005A6E1B" w:rsidRPr="00886946" w:rsidRDefault="005A6E1B" w:rsidP="006A06FC">
            <w:pPr>
              <w:spacing w:after="0"/>
              <w:jc w:val="right"/>
            </w:pPr>
            <w:r w:rsidRPr="00886946">
              <w:t>$71,00</w:t>
            </w:r>
          </w:p>
        </w:tc>
        <w:tc>
          <w:tcPr>
            <w:tcW w:w="899" w:type="dxa"/>
          </w:tcPr>
          <w:p w:rsidR="005A6E1B" w:rsidRPr="00886946" w:rsidRDefault="005A6E1B" w:rsidP="006A06FC">
            <w:pPr>
              <w:spacing w:after="0"/>
              <w:jc w:val="right"/>
            </w:pPr>
            <w:r w:rsidRPr="00886946">
              <w:t>90,00%</w:t>
            </w:r>
          </w:p>
        </w:tc>
        <w:tc>
          <w:tcPr>
            <w:tcW w:w="885" w:type="dxa"/>
          </w:tcPr>
          <w:p w:rsidR="005A6E1B" w:rsidRPr="00886946" w:rsidRDefault="005A6E1B" w:rsidP="006A06FC">
            <w:pPr>
              <w:spacing w:after="0"/>
              <w:jc w:val="right"/>
            </w:pPr>
            <w:r w:rsidRPr="00886946">
              <w:t>50</w:t>
            </w:r>
          </w:p>
        </w:tc>
        <w:tc>
          <w:tcPr>
            <w:tcW w:w="936" w:type="dxa"/>
          </w:tcPr>
          <w:p w:rsidR="005A6E1B" w:rsidRPr="00886946" w:rsidRDefault="005A6E1B" w:rsidP="006A06FC">
            <w:pPr>
              <w:spacing w:after="0"/>
              <w:jc w:val="right"/>
            </w:pPr>
            <w:r w:rsidRPr="00886946">
              <w:t>$6.745,00</w:t>
            </w:r>
          </w:p>
        </w:tc>
        <w:tc>
          <w:tcPr>
            <w:tcW w:w="907" w:type="dxa"/>
          </w:tcPr>
          <w:p w:rsidR="005A6E1B" w:rsidRPr="00886946" w:rsidRDefault="005A6E1B" w:rsidP="006A06FC">
            <w:pPr>
              <w:spacing w:after="0"/>
              <w:jc w:val="right"/>
            </w:pPr>
            <w:r w:rsidRPr="00886946">
              <w:t>$5,00</w:t>
            </w:r>
          </w:p>
        </w:tc>
        <w:tc>
          <w:tcPr>
            <w:tcW w:w="887" w:type="dxa"/>
          </w:tcPr>
          <w:p w:rsidR="005A6E1B" w:rsidRPr="00886946" w:rsidRDefault="005A6E1B" w:rsidP="006A06FC">
            <w:pPr>
              <w:spacing w:after="0"/>
              <w:jc w:val="right"/>
            </w:pPr>
            <w:r w:rsidRPr="00886946">
              <w:t>$3,50</w:t>
            </w:r>
          </w:p>
        </w:tc>
        <w:tc>
          <w:tcPr>
            <w:tcW w:w="892" w:type="dxa"/>
          </w:tcPr>
          <w:p w:rsidR="005A6E1B" w:rsidRPr="00886946" w:rsidRDefault="005A6E1B" w:rsidP="006A06FC">
            <w:pPr>
              <w:spacing w:after="0"/>
              <w:jc w:val="right"/>
            </w:pPr>
            <w:r w:rsidRPr="00886946">
              <w:t>$65,40</w:t>
            </w:r>
          </w:p>
        </w:tc>
        <w:tc>
          <w:tcPr>
            <w:tcW w:w="897" w:type="dxa"/>
          </w:tcPr>
          <w:p w:rsidR="005A6E1B" w:rsidRPr="00886946" w:rsidRDefault="005A6E1B" w:rsidP="006A06FC">
            <w:pPr>
              <w:spacing w:after="0"/>
              <w:jc w:val="right"/>
            </w:pPr>
            <w:r w:rsidRPr="00886946">
              <w:t>0</w:t>
            </w:r>
          </w:p>
        </w:tc>
        <w:tc>
          <w:tcPr>
            <w:tcW w:w="936" w:type="dxa"/>
          </w:tcPr>
          <w:p w:rsidR="005A6E1B" w:rsidRPr="00886946" w:rsidRDefault="005A6E1B" w:rsidP="006A06FC">
            <w:pPr>
              <w:spacing w:after="0"/>
              <w:jc w:val="right"/>
            </w:pPr>
            <w:r w:rsidRPr="00886946">
              <w:t>$3.270,00</w:t>
            </w:r>
          </w:p>
        </w:tc>
      </w:tr>
      <w:tr w:rsidR="005A6E1B" w:rsidRPr="00886946" w:rsidTr="006A06FC">
        <w:tc>
          <w:tcPr>
            <w:tcW w:w="886" w:type="dxa"/>
          </w:tcPr>
          <w:p w:rsidR="005A6E1B" w:rsidRPr="00886946" w:rsidRDefault="005A6E1B" w:rsidP="006A06FC">
            <w:pPr>
              <w:spacing w:after="0"/>
            </w:pPr>
            <w:r w:rsidRPr="00886946">
              <w:t>[Item 5]</w:t>
            </w:r>
          </w:p>
        </w:tc>
        <w:tc>
          <w:tcPr>
            <w:tcW w:w="891" w:type="dxa"/>
          </w:tcPr>
          <w:p w:rsidR="005A6E1B" w:rsidRPr="00886946" w:rsidRDefault="005A6E1B" w:rsidP="006A06FC">
            <w:pPr>
              <w:spacing w:after="0"/>
              <w:jc w:val="right"/>
            </w:pPr>
            <w:r w:rsidRPr="00886946">
              <w:t>$69,00</w:t>
            </w:r>
          </w:p>
        </w:tc>
        <w:tc>
          <w:tcPr>
            <w:tcW w:w="899" w:type="dxa"/>
          </w:tcPr>
          <w:p w:rsidR="005A6E1B" w:rsidRPr="00886946" w:rsidRDefault="005A6E1B" w:rsidP="006A06FC">
            <w:pPr>
              <w:spacing w:after="0"/>
              <w:jc w:val="right"/>
            </w:pPr>
            <w:r w:rsidRPr="00886946">
              <w:t>90,00%</w:t>
            </w:r>
          </w:p>
        </w:tc>
        <w:tc>
          <w:tcPr>
            <w:tcW w:w="885" w:type="dxa"/>
          </w:tcPr>
          <w:p w:rsidR="005A6E1B" w:rsidRPr="00886946" w:rsidRDefault="005A6E1B" w:rsidP="006A06FC">
            <w:pPr>
              <w:spacing w:after="0"/>
              <w:jc w:val="right"/>
            </w:pPr>
            <w:r w:rsidRPr="00886946">
              <w:t>42</w:t>
            </w:r>
          </w:p>
        </w:tc>
        <w:tc>
          <w:tcPr>
            <w:tcW w:w="936" w:type="dxa"/>
          </w:tcPr>
          <w:p w:rsidR="005A6E1B" w:rsidRPr="00886946" w:rsidRDefault="005A6E1B" w:rsidP="006A06FC">
            <w:pPr>
              <w:spacing w:after="0"/>
              <w:jc w:val="right"/>
            </w:pPr>
            <w:r w:rsidRPr="00886946">
              <w:t>$5.506,20</w:t>
            </w:r>
          </w:p>
        </w:tc>
        <w:tc>
          <w:tcPr>
            <w:tcW w:w="907" w:type="dxa"/>
          </w:tcPr>
          <w:p w:rsidR="005A6E1B" w:rsidRPr="00886946" w:rsidRDefault="005A6E1B" w:rsidP="006A06FC">
            <w:pPr>
              <w:spacing w:after="0"/>
              <w:jc w:val="right"/>
            </w:pPr>
            <w:r w:rsidRPr="00886946">
              <w:t>$5,00</w:t>
            </w:r>
          </w:p>
        </w:tc>
        <w:tc>
          <w:tcPr>
            <w:tcW w:w="887" w:type="dxa"/>
          </w:tcPr>
          <w:p w:rsidR="005A6E1B" w:rsidRPr="00886946" w:rsidRDefault="005A6E1B" w:rsidP="006A06FC">
            <w:pPr>
              <w:spacing w:after="0"/>
              <w:jc w:val="right"/>
            </w:pPr>
            <w:r w:rsidRPr="00886946">
              <w:t>$3,25</w:t>
            </w:r>
          </w:p>
        </w:tc>
        <w:tc>
          <w:tcPr>
            <w:tcW w:w="892" w:type="dxa"/>
          </w:tcPr>
          <w:p w:rsidR="005A6E1B" w:rsidRPr="00886946" w:rsidRDefault="005A6E1B" w:rsidP="006A06FC">
            <w:pPr>
              <w:spacing w:after="0"/>
              <w:jc w:val="right"/>
            </w:pPr>
            <w:r w:rsidRPr="00886946">
              <w:t>$63,85</w:t>
            </w:r>
          </w:p>
        </w:tc>
        <w:tc>
          <w:tcPr>
            <w:tcW w:w="897" w:type="dxa"/>
          </w:tcPr>
          <w:p w:rsidR="005A6E1B" w:rsidRPr="00886946" w:rsidRDefault="005A6E1B" w:rsidP="006A06FC">
            <w:pPr>
              <w:spacing w:after="0"/>
              <w:jc w:val="right"/>
            </w:pPr>
            <w:r w:rsidRPr="00886946">
              <w:t>3</w:t>
            </w:r>
          </w:p>
        </w:tc>
        <w:tc>
          <w:tcPr>
            <w:tcW w:w="936" w:type="dxa"/>
          </w:tcPr>
          <w:p w:rsidR="005A6E1B" w:rsidRPr="00886946" w:rsidRDefault="005A6E1B" w:rsidP="006A06FC">
            <w:pPr>
              <w:spacing w:after="0"/>
              <w:jc w:val="right"/>
            </w:pPr>
            <w:r w:rsidRPr="00886946">
              <w:t>$2.499,90</w:t>
            </w:r>
          </w:p>
        </w:tc>
      </w:tr>
    </w:tbl>
    <w:p w:rsidR="005A6E1B" w:rsidRDefault="005A6E1B" w:rsidP="005A6E1B"/>
    <w:p w:rsidR="00911954"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911954"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911954" w:rsidRDefault="00911954" w:rsidP="00911954"/>
    <w:p w:rsidR="00911954" w:rsidRPr="00853C51" w:rsidRDefault="00911954" w:rsidP="00911954">
      <w:pPr>
        <w:pStyle w:val="Caption"/>
        <w:keepNext/>
        <w:spacing w:after="0"/>
        <w:jc w:val="left"/>
        <w:rPr>
          <w:color w:val="auto"/>
        </w:rPr>
      </w:pPr>
      <w:r w:rsidRPr="00853C51">
        <w:rPr>
          <w:color w:val="auto"/>
        </w:rPr>
        <w:lastRenderedPageBreak/>
        <w:t xml:space="preserve">Algorithm </w:t>
      </w:r>
      <w:r w:rsidRPr="00853C51">
        <w:rPr>
          <w:color w:val="auto"/>
        </w:rPr>
        <w:fldChar w:fldCharType="begin"/>
      </w:r>
      <w:r w:rsidRPr="00853C51">
        <w:rPr>
          <w:color w:val="auto"/>
        </w:rPr>
        <w:instrText xml:space="preserve"> SEQ Algorithm \* ARABIC </w:instrText>
      </w:r>
      <w:r w:rsidRPr="00853C51">
        <w:rPr>
          <w:color w:val="auto"/>
        </w:rPr>
        <w:fldChar w:fldCharType="separate"/>
      </w:r>
      <w:r w:rsidRPr="00853C51">
        <w:rPr>
          <w:noProof/>
          <w:color w:val="auto"/>
        </w:rPr>
        <w:t>1</w:t>
      </w:r>
      <w:r w:rsidRPr="00853C51">
        <w:rPr>
          <w:color w:val="auto"/>
        </w:rPr>
        <w:fldChar w:fldCharType="end"/>
      </w:r>
      <w:r w:rsidRPr="00853C51">
        <w:rPr>
          <w:color w:val="auto"/>
        </w:rPr>
        <w:t>. Weighted Tanimoto ELM.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11954" w:rsidTr="006A06FC">
        <w:tc>
          <w:tcPr>
            <w:tcW w:w="9016" w:type="dxa"/>
          </w:tcPr>
          <w:p w:rsidR="00911954" w:rsidRDefault="00911954" w:rsidP="006A06FC">
            <w:r>
              <w:rPr>
                <w:noProof/>
              </w:rPr>
              <w:drawing>
                <wp:inline distT="0" distB="0" distL="0" distR="0" wp14:anchorId="5989E84A" wp14:editId="1AA13743">
                  <wp:extent cx="2649169" cy="1488734"/>
                  <wp:effectExtent l="0" t="0" r="5715" b="0"/>
                  <wp:docPr id="13"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sign Projects\005 Series\03 OA Word templates\Work\TJ\Work\Fig3.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377" b="2647"/>
                          <a:stretch/>
                        </pic:blipFill>
                        <pic:spPr bwMode="auto">
                          <a:xfrm>
                            <a:off x="0" y="0"/>
                            <a:ext cx="2690532" cy="151197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11954" w:rsidRDefault="00911954" w:rsidP="00911954"/>
    <w:p w:rsidR="00911954"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911954" w:rsidRDefault="00911954" w:rsidP="00911954"/>
    <w:p w:rsidR="00911954" w:rsidRPr="005D751D" w:rsidRDefault="00000000" w:rsidP="00911954">
      <w:pPr>
        <w:tabs>
          <w:tab w:val="right" w:pos="9026"/>
        </w:tabs>
        <w:rPr>
          <w:rFonts w:eastAsiaTheme="minorEastAsia"/>
          <w:i/>
          <w:iCs/>
        </w:rPr>
      </w:pPr>
      <m:oMath>
        <m:sSup>
          <m:sSupPr>
            <m:ctrlPr>
              <w:rPr>
                <w:rFonts w:ascii="Cambria Math" w:hAnsi="Cambria Math"/>
              </w:rPr>
            </m:ctrlPr>
          </m:sSupPr>
          <m:e>
            <m:d>
              <m:dPr>
                <m:ctrlPr>
                  <w:rPr>
                    <w:rFonts w:ascii="Cambria Math" w:hAnsi="Cambria Math"/>
                  </w:rPr>
                </m:ctrlPr>
              </m:dPr>
              <m:e>
                <m:r>
                  <w:rPr>
                    <w:rFonts w:ascii="Cambria Math" w:hAnsi="Cambria Math"/>
                  </w:rPr>
                  <m:t>x+a</m:t>
                </m:r>
              </m:e>
            </m:d>
            <m:ctrlPr>
              <w:rPr>
                <w:rFonts w:ascii="Cambria Math" w:hAnsi="Cambria Math"/>
                <w:i/>
              </w:rPr>
            </m:ctrlPr>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ctrlPr>
                  <w:rPr>
                    <w:rFonts w:ascii="Cambria Math" w:eastAsia="Cambria Math" w:hAnsi="Cambria Math" w:cs="Cambria Math"/>
                    <w:i/>
                  </w:rPr>
                </m:ctrlP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ctrlPr>
                  <w:rPr>
                    <w:rFonts w:ascii="Cambria Math" w:eastAsia="Cambria Math" w:hAnsi="Cambria Math" w:cs="Cambria Math"/>
                    <w:i/>
                  </w:rPr>
                </m:ctrlPr>
              </m:e>
              <m:sup>
                <m:r>
                  <w:rPr>
                    <w:rFonts w:ascii="Cambria Math" w:eastAsia="Cambria Math" w:hAnsi="Cambria Math" w:cs="Cambria Math"/>
                  </w:rPr>
                  <m:t>n-k</m:t>
                </m:r>
              </m:sup>
            </m:sSup>
          </m:e>
        </m:nary>
      </m:oMath>
      <w:r w:rsidR="00911954">
        <w:rPr>
          <w:rFonts w:eastAsiaTheme="minorEastAsia"/>
        </w:rPr>
        <w:t xml:space="preserve"> </w:t>
      </w:r>
      <w:r w:rsidR="00911954">
        <w:rPr>
          <w:rFonts w:eastAsiaTheme="minorEastAsia"/>
        </w:rPr>
        <w:tab/>
      </w:r>
      <w:r w:rsidR="00911954" w:rsidRPr="005D751D">
        <w:rPr>
          <w:rFonts w:eastAsiaTheme="minorEastAsia"/>
          <w:i/>
          <w:iCs/>
        </w:rPr>
        <w:t>(1)</w:t>
      </w:r>
    </w:p>
    <w:p w:rsidR="00911954" w:rsidRDefault="00911954" w:rsidP="00911954"/>
    <w:p w:rsidR="00911954" w:rsidRPr="005A6E1B"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Default="005A6E1B" w:rsidP="005A6E1B">
      <w:pPr>
        <w:pStyle w:val="Heading1"/>
      </w:pPr>
      <w:r>
        <w:t>RESULTS/FINDINGS/DISCUSSIONS</w:t>
      </w:r>
    </w:p>
    <w:p w:rsidR="00911954" w:rsidRPr="00911954"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Default="005A6E1B" w:rsidP="005A6E1B">
      <w:pPr>
        <w:pStyle w:val="Heading1"/>
        <w:numPr>
          <w:ilvl w:val="0"/>
          <w:numId w:val="0"/>
        </w:numPr>
      </w:pPr>
      <w:r>
        <w:t>ACKNOWLEDGEMENTS</w:t>
      </w:r>
    </w:p>
    <w:p w:rsidR="00911954" w:rsidRPr="00911954" w:rsidRDefault="00911954" w:rsidP="00911954">
      <w:r w:rsidRPr="0050431E">
        <w:t>Lorem ipsum dolor sit amet, consectetur adipiscing elit. Integer rutrum dictum leo, nec vestibulum ex ultricies posuere. Aenean placerat eget lectus vel sodales. Fusce viverra quam lorem, ac egestas ante tincidunt non. Phasellus laoreet, velit et semper placerat, orci tortor eleifend neque, non gravida arcu erat vel diam. Fusce ultrices massa metus, nec vehicula lorem molestie at. Vestibulum at suscipit ante. Nulla at feugiat nisl. Etiam et pretium libero. Pellentesque quis purus at lacus pretium tristique sed et ipsum. Aliquam erat volutpat. Phasellus viverra nibh neque, non dignissim nulla ultrices ut. Morbi pulvinar facilisis leo eu auctor. Nulla rutrum risus est, at egestas dolor tempus id. Ut dapibus tortor in ultrices pulvinar. Phasellus ut porta libero. Nulla semper euismod aliquam.</w:t>
      </w:r>
    </w:p>
    <w:p w:rsidR="005A6E1B" w:rsidRPr="005A6E1B" w:rsidRDefault="005A6E1B" w:rsidP="005A6E1B">
      <w:pPr>
        <w:pStyle w:val="Heading1"/>
        <w:numPr>
          <w:ilvl w:val="0"/>
          <w:numId w:val="0"/>
        </w:numPr>
        <w:ind w:left="432" w:hanging="432"/>
      </w:pPr>
      <w:r>
        <w:t>REFERENCES</w:t>
      </w:r>
    </w:p>
    <w:p w:rsidR="00911954" w:rsidRDefault="00911954" w:rsidP="00911954">
      <w:pPr>
        <w:pStyle w:val="NoSpacing"/>
      </w:pPr>
      <w:r>
        <w:t>Basic format for periodicals:</w:t>
      </w:r>
    </w:p>
    <w:p w:rsidR="00911954" w:rsidRPr="001C0B13" w:rsidRDefault="00911954" w:rsidP="00911954">
      <w:pPr>
        <w:spacing w:after="0"/>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x, no. x, pp. xxx-xxx, Abbrev. Month, year, doi: 10.1109.XXX.1234567.</w:t>
      </w:r>
    </w:p>
    <w:p w:rsidR="00911954" w:rsidRDefault="00911954" w:rsidP="00911954">
      <w:pPr>
        <w:pStyle w:val="NoSpacing"/>
      </w:pPr>
    </w:p>
    <w:p w:rsidR="00911954" w:rsidRDefault="00911954" w:rsidP="00911954">
      <w:pPr>
        <w:pStyle w:val="NoSpacing"/>
      </w:pPr>
      <w:r>
        <w:t>Periodicals using article numbers:</w:t>
      </w:r>
    </w:p>
    <w:p w:rsidR="00911954" w:rsidRPr="001C0B13" w:rsidRDefault="00911954" w:rsidP="00911954">
      <w:pPr>
        <w:spacing w:after="0"/>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x, no. x, Abbrev. Month, year, Art. no. xxxxx, doi: 10.1109.XXX.1234567.</w:t>
      </w:r>
    </w:p>
    <w:p w:rsidR="00911954" w:rsidRDefault="00911954" w:rsidP="00911954">
      <w:pPr>
        <w:pStyle w:val="NoSpacing"/>
      </w:pPr>
    </w:p>
    <w:p w:rsidR="00911954" w:rsidRDefault="00911954" w:rsidP="00911954">
      <w:pPr>
        <w:pStyle w:val="NoSpacing"/>
      </w:pPr>
      <w:r>
        <w:t>Basic format for books:</w:t>
      </w:r>
    </w:p>
    <w:p w:rsidR="00911954" w:rsidRPr="001C0B13" w:rsidRDefault="00911954" w:rsidP="00911954">
      <w:pPr>
        <w:spacing w:after="0"/>
        <w:rPr>
          <w:rFonts w:ascii="Times" w:eastAsia="Times" w:hAnsi="Times" w:cs="Times"/>
          <w:i/>
          <w:sz w:val="16"/>
          <w:szCs w:val="16"/>
        </w:rPr>
      </w:pPr>
      <w:r>
        <w:rPr>
          <w:sz w:val="16"/>
          <w:szCs w:val="16"/>
        </w:rPr>
        <w:t xml:space="preserve">J. K. Author, “Title of chapter in the book,” in </w:t>
      </w:r>
      <w:r>
        <w:rPr>
          <w:rFonts w:ascii="Times" w:eastAsia="Times" w:hAnsi="Times" w:cs="Times"/>
          <w:i/>
          <w:sz w:val="16"/>
          <w:szCs w:val="16"/>
        </w:rPr>
        <w:t>Title of Published Book, x</w:t>
      </w:r>
      <w:r>
        <w:rPr>
          <w:sz w:val="16"/>
          <w:szCs w:val="16"/>
        </w:rPr>
        <w:t xml:space="preserve">th ed. City of Publisher, (only U.S. State), Country: Abbrev. of Publisher, year, ch. </w:t>
      </w:r>
      <w:r w:rsidRPr="00EF6430">
        <w:rPr>
          <w:rFonts w:ascii="Times" w:eastAsia="Times" w:hAnsi="Times" w:cs="Times"/>
          <w:sz w:val="16"/>
          <w:szCs w:val="16"/>
        </w:rPr>
        <w:t>x</w:t>
      </w:r>
      <w:r>
        <w:rPr>
          <w:sz w:val="16"/>
          <w:szCs w:val="16"/>
        </w:rPr>
        <w:t xml:space="preserve">, sec. </w:t>
      </w:r>
      <w:r>
        <w:rPr>
          <w:rFonts w:ascii="Times" w:eastAsia="Times" w:hAnsi="Times" w:cs="Times"/>
          <w:i/>
          <w:sz w:val="16"/>
          <w:szCs w:val="16"/>
        </w:rPr>
        <w:t>x</w:t>
      </w:r>
      <w:r>
        <w:rPr>
          <w:sz w:val="16"/>
          <w:szCs w:val="16"/>
        </w:rPr>
        <w:t xml:space="preserve">, pp. </w:t>
      </w:r>
      <w:r w:rsidRPr="00EF6430">
        <w:rPr>
          <w:rFonts w:ascii="Times" w:eastAsia="Times" w:hAnsi="Times" w:cs="Times"/>
          <w:sz w:val="16"/>
          <w:szCs w:val="16"/>
        </w:rPr>
        <w:t>xxx–xxx</w:t>
      </w:r>
      <w:r>
        <w:rPr>
          <w:rFonts w:ascii="Times" w:eastAsia="Times" w:hAnsi="Times" w:cs="Times"/>
          <w:i/>
          <w:sz w:val="16"/>
          <w:szCs w:val="16"/>
        </w:rPr>
        <w:t>.</w:t>
      </w:r>
    </w:p>
    <w:p w:rsidR="00911954" w:rsidRDefault="00911954" w:rsidP="00911954">
      <w:pPr>
        <w:pStyle w:val="NoSpacing"/>
      </w:pPr>
    </w:p>
    <w:p w:rsidR="00911954" w:rsidRDefault="00911954" w:rsidP="00911954">
      <w:pPr>
        <w:pStyle w:val="NoSpacing"/>
      </w:pPr>
      <w:r>
        <w:t>Basic format for handbooks:</w:t>
      </w:r>
    </w:p>
    <w:p w:rsidR="00911954" w:rsidRPr="001C0B13" w:rsidRDefault="00911954" w:rsidP="00911954">
      <w:pPr>
        <w:spacing w:after="0"/>
        <w:rPr>
          <w:sz w:val="16"/>
          <w:szCs w:val="16"/>
        </w:rPr>
      </w:pPr>
      <w:r>
        <w:rPr>
          <w:i/>
          <w:sz w:val="16"/>
          <w:szCs w:val="16"/>
        </w:rPr>
        <w:t>Name of Manual/Handbook, x</w:t>
      </w:r>
      <w:r>
        <w:rPr>
          <w:sz w:val="16"/>
          <w:szCs w:val="16"/>
        </w:rPr>
        <w:t xml:space="preserve"> ed., Abbrev. Name of Co., City of Co., Abbrev. State, Country, year, pp. xxx-xxx.</w:t>
      </w:r>
    </w:p>
    <w:p w:rsidR="00911954" w:rsidRDefault="00911954" w:rsidP="00911954">
      <w:pPr>
        <w:pStyle w:val="NoSpacing"/>
      </w:pPr>
    </w:p>
    <w:p w:rsidR="00911954" w:rsidRDefault="00911954" w:rsidP="00911954">
      <w:pPr>
        <w:pStyle w:val="NoSpacing"/>
      </w:pPr>
      <w:r>
        <w:t>Basic format for reports:</w:t>
      </w:r>
    </w:p>
    <w:p w:rsidR="00911954" w:rsidRDefault="00911954" w:rsidP="00911954">
      <w:pPr>
        <w:spacing w:after="0"/>
        <w:rPr>
          <w:sz w:val="16"/>
          <w:szCs w:val="16"/>
        </w:rPr>
      </w:pPr>
      <w:r>
        <w:rPr>
          <w:sz w:val="16"/>
          <w:szCs w:val="16"/>
        </w:rPr>
        <w:t xml:space="preserve">J. K. Author, “Title of report,” Abbrev. Name of Co., City of Co., Abbrev. State, Country, Rep. </w:t>
      </w:r>
      <w:r w:rsidRPr="00EF6430">
        <w:rPr>
          <w:sz w:val="16"/>
          <w:szCs w:val="16"/>
        </w:rPr>
        <w:t>xxx</w:t>
      </w:r>
      <w:r>
        <w:rPr>
          <w:sz w:val="16"/>
          <w:szCs w:val="16"/>
        </w:rPr>
        <w:t>, year.</w:t>
      </w:r>
    </w:p>
    <w:p w:rsidR="00911954" w:rsidRDefault="00911954" w:rsidP="00911954">
      <w:pPr>
        <w:pStyle w:val="NoSpacing"/>
        <w:rPr>
          <w:rFonts w:ascii="Times" w:eastAsia="Times" w:hAnsi="Times" w:cs="Times"/>
        </w:rPr>
      </w:pPr>
    </w:p>
    <w:p w:rsidR="00911954" w:rsidRDefault="00911954" w:rsidP="00911954">
      <w:pPr>
        <w:pStyle w:val="NoSpacing"/>
      </w:pPr>
      <w:r>
        <w:rPr>
          <w:rFonts w:ascii="Times" w:eastAsia="Times" w:hAnsi="Times" w:cs="Times"/>
        </w:rPr>
        <w:t>Basic format</w:t>
      </w:r>
      <w:r>
        <w:t xml:space="preserve"> for conference proceedings:</w:t>
      </w:r>
    </w:p>
    <w:p w:rsidR="00911954" w:rsidRDefault="00911954" w:rsidP="00911954">
      <w:pPr>
        <w:spacing w:after="0"/>
        <w:rPr>
          <w:i/>
          <w:sz w:val="16"/>
          <w:szCs w:val="16"/>
        </w:rPr>
      </w:pPr>
      <w:r>
        <w:rPr>
          <w:sz w:val="16"/>
          <w:szCs w:val="16"/>
        </w:rPr>
        <w:t xml:space="preserve">J. K. Author, “Title of paper,” in </w:t>
      </w:r>
      <w:r>
        <w:rPr>
          <w:i/>
          <w:sz w:val="16"/>
          <w:szCs w:val="16"/>
        </w:rPr>
        <w:t>Abbreviated Name of Conf.</w:t>
      </w:r>
      <w:r>
        <w:rPr>
          <w:sz w:val="16"/>
          <w:szCs w:val="16"/>
        </w:rPr>
        <w:t xml:space="preserve">, City of Conf., Abbrev. State (if given), Country, year, pp. </w:t>
      </w:r>
      <w:r w:rsidRPr="00EF6430">
        <w:rPr>
          <w:sz w:val="16"/>
          <w:szCs w:val="16"/>
        </w:rPr>
        <w:t>xxxxxx</w:t>
      </w:r>
      <w:r>
        <w:rPr>
          <w:i/>
          <w:sz w:val="16"/>
          <w:szCs w:val="16"/>
        </w:rPr>
        <w:t>.</w:t>
      </w:r>
    </w:p>
    <w:p w:rsidR="00911954" w:rsidRDefault="00911954" w:rsidP="00911954">
      <w:pPr>
        <w:pStyle w:val="NoSpacing"/>
      </w:pPr>
    </w:p>
    <w:p w:rsidR="00911954" w:rsidRDefault="00911954" w:rsidP="00911954">
      <w:pPr>
        <w:pStyle w:val="NoSpacing"/>
      </w:pPr>
      <w:r>
        <w:t xml:space="preserve">Basic format for electronic documents (when available online): </w:t>
      </w:r>
    </w:p>
    <w:p w:rsidR="00911954" w:rsidRDefault="00911954" w:rsidP="00911954">
      <w:pPr>
        <w:pBdr>
          <w:top w:val="nil"/>
          <w:left w:val="nil"/>
          <w:bottom w:val="nil"/>
          <w:right w:val="nil"/>
          <w:between w:val="nil"/>
        </w:pBdr>
        <w:spacing w:after="0"/>
        <w:rPr>
          <w:sz w:val="16"/>
          <w:szCs w:val="16"/>
        </w:rPr>
      </w:pPr>
      <w:r>
        <w:rPr>
          <w:sz w:val="16"/>
          <w:szCs w:val="16"/>
        </w:rPr>
        <w:t xml:space="preserve">Issuing Organization. (year, month day). </w:t>
      </w:r>
      <w:r>
        <w:rPr>
          <w:i/>
          <w:sz w:val="16"/>
          <w:szCs w:val="16"/>
        </w:rPr>
        <w:t>Title</w:t>
      </w:r>
      <w:r>
        <w:rPr>
          <w:sz w:val="16"/>
          <w:szCs w:val="16"/>
        </w:rPr>
        <w:t>. [Type of medium]. Available: site/path/file</w:t>
      </w:r>
    </w:p>
    <w:p w:rsidR="00911954" w:rsidRDefault="00911954" w:rsidP="00911954">
      <w:pPr>
        <w:pStyle w:val="NoSpacing"/>
      </w:pPr>
    </w:p>
    <w:p w:rsidR="00911954" w:rsidRDefault="00911954" w:rsidP="00911954">
      <w:pPr>
        <w:pStyle w:val="NoSpacing"/>
      </w:pPr>
      <w:r>
        <w:t>Basic format</w:t>
      </w:r>
      <w:r>
        <w:rPr>
          <w:color w:val="000000"/>
        </w:rPr>
        <w:t xml:space="preserve"> for patents</w:t>
      </w:r>
      <w:r>
        <w:t>:</w:t>
      </w:r>
    </w:p>
    <w:p w:rsidR="00911954" w:rsidRPr="00C04F49" w:rsidRDefault="00911954" w:rsidP="00911954">
      <w:pPr>
        <w:keepLines/>
        <w:spacing w:after="0"/>
        <w:rPr>
          <w:spacing w:val="-2"/>
          <w:sz w:val="16"/>
          <w:szCs w:val="16"/>
        </w:rPr>
      </w:pPr>
      <w:r w:rsidRPr="00C04F49">
        <w:rPr>
          <w:spacing w:val="-2"/>
          <w:sz w:val="16"/>
          <w:szCs w:val="16"/>
        </w:rPr>
        <w:t xml:space="preserve">J. K. Author, “Title of patent,” U.S. Patent </w:t>
      </w:r>
      <w:r w:rsidRPr="00C04F49">
        <w:rPr>
          <w:i/>
          <w:spacing w:val="-2"/>
          <w:sz w:val="16"/>
          <w:szCs w:val="16"/>
        </w:rPr>
        <w:t>x xxx xxx</w:t>
      </w:r>
      <w:r w:rsidRPr="00C04F49">
        <w:rPr>
          <w:spacing w:val="-2"/>
          <w:sz w:val="16"/>
          <w:szCs w:val="16"/>
        </w:rPr>
        <w:t>, Abbrev. Month, day, year.</w:t>
      </w:r>
    </w:p>
    <w:p w:rsidR="00911954" w:rsidRPr="0001265B" w:rsidRDefault="00911954" w:rsidP="00911954">
      <w:pPr>
        <w:pStyle w:val="NoSpacing"/>
      </w:pPr>
    </w:p>
    <w:p w:rsidR="00911954" w:rsidRPr="00D050EC" w:rsidRDefault="00911954" w:rsidP="00911954">
      <w:pPr>
        <w:pStyle w:val="NoSpacing"/>
        <w:rPr>
          <w:rFonts w:eastAsia="Times"/>
        </w:rPr>
      </w:pPr>
      <w:r w:rsidRPr="00D050EC">
        <w:rPr>
          <w:rFonts w:eastAsia="Times"/>
        </w:rPr>
        <w:t>Basic format</w:t>
      </w:r>
      <w:r w:rsidRPr="008856C3">
        <w:rPr>
          <w:b/>
        </w:rPr>
        <w:t xml:space="preserve"> </w:t>
      </w:r>
      <w:r w:rsidRPr="00636D0A">
        <w:t>for theses (M.S.) and dissertations (Ph.D.):</w:t>
      </w:r>
    </w:p>
    <w:p w:rsidR="00911954" w:rsidRDefault="00911954" w:rsidP="00911954">
      <w:pPr>
        <w:spacing w:after="0"/>
        <w:rPr>
          <w:sz w:val="16"/>
          <w:szCs w:val="16"/>
        </w:rPr>
      </w:pPr>
      <w:r>
        <w:rPr>
          <w:sz w:val="16"/>
          <w:szCs w:val="16"/>
        </w:rPr>
        <w:t>J. K. Author, “Title of thesis,” M.S. thesis, Abbrev. Dept., Abbrev. Univ., City of Univ., Abbrev. State, year.</w:t>
      </w:r>
    </w:p>
    <w:p w:rsidR="00911954" w:rsidRDefault="00911954" w:rsidP="00911954">
      <w:pPr>
        <w:spacing w:after="0"/>
        <w:rPr>
          <w:sz w:val="16"/>
          <w:szCs w:val="16"/>
        </w:rPr>
      </w:pPr>
      <w:r>
        <w:rPr>
          <w:sz w:val="16"/>
          <w:szCs w:val="16"/>
        </w:rPr>
        <w:t>J. K. Author, “Title of dissertation,” Ph.D. dissertation, Abbrev. Dept., Abbrev. Univ., City of Univ., Abbrev. State, year.</w:t>
      </w:r>
    </w:p>
    <w:p w:rsidR="00911954" w:rsidRDefault="00911954" w:rsidP="00911954">
      <w:pPr>
        <w:pStyle w:val="NoSpacing"/>
      </w:pPr>
    </w:p>
    <w:p w:rsidR="00911954" w:rsidRDefault="00911954" w:rsidP="00911954">
      <w:pPr>
        <w:pStyle w:val="NoSpacing"/>
      </w:pPr>
      <w:r>
        <w:t>Basic format for the most common types of unpublished references:</w:t>
      </w:r>
    </w:p>
    <w:p w:rsidR="00911954" w:rsidRDefault="00911954" w:rsidP="00911954">
      <w:pPr>
        <w:spacing w:after="0"/>
        <w:rPr>
          <w:sz w:val="16"/>
          <w:szCs w:val="16"/>
        </w:rPr>
      </w:pPr>
      <w:r>
        <w:rPr>
          <w:sz w:val="16"/>
          <w:szCs w:val="16"/>
        </w:rPr>
        <w:t>J. K. Author, private communication, Abbrev. Month, year.</w:t>
      </w:r>
    </w:p>
    <w:p w:rsidR="00911954" w:rsidRDefault="00911954" w:rsidP="00911954">
      <w:pPr>
        <w:spacing w:after="0"/>
        <w:rPr>
          <w:sz w:val="16"/>
          <w:szCs w:val="16"/>
        </w:rPr>
      </w:pPr>
      <w:r>
        <w:rPr>
          <w:sz w:val="16"/>
          <w:szCs w:val="16"/>
        </w:rPr>
        <w:t>J. K. Author, “Title of paper,” unpublished.</w:t>
      </w:r>
    </w:p>
    <w:p w:rsidR="00911954" w:rsidRDefault="00911954" w:rsidP="00911954">
      <w:pPr>
        <w:spacing w:after="0"/>
        <w:rPr>
          <w:sz w:val="16"/>
          <w:szCs w:val="16"/>
        </w:rPr>
      </w:pPr>
      <w:r>
        <w:rPr>
          <w:sz w:val="16"/>
          <w:szCs w:val="16"/>
        </w:rPr>
        <w:t>J. K. Author, “Title of paper,” to be published.</w:t>
      </w:r>
    </w:p>
    <w:p w:rsidR="00911954" w:rsidRDefault="00911954" w:rsidP="00911954">
      <w:pPr>
        <w:pStyle w:val="NoSpacing"/>
      </w:pPr>
    </w:p>
    <w:p w:rsidR="00911954" w:rsidRDefault="00911954" w:rsidP="00911954">
      <w:pPr>
        <w:pStyle w:val="NoSpacing"/>
      </w:pPr>
      <w:r>
        <w:t>Basic formats for standards:</w:t>
      </w:r>
    </w:p>
    <w:p w:rsidR="00911954" w:rsidRDefault="00911954" w:rsidP="00911954">
      <w:pPr>
        <w:spacing w:after="0"/>
        <w:rPr>
          <w:sz w:val="16"/>
          <w:szCs w:val="16"/>
        </w:rPr>
      </w:pPr>
      <w:r>
        <w:rPr>
          <w:sz w:val="16"/>
          <w:szCs w:val="16"/>
        </w:rPr>
        <w:t>a)</w:t>
      </w:r>
      <w:r>
        <w:rPr>
          <w:i/>
          <w:sz w:val="16"/>
          <w:szCs w:val="16"/>
        </w:rPr>
        <w:t xml:space="preserve"> Title of Standard</w:t>
      </w:r>
      <w:r>
        <w:rPr>
          <w:sz w:val="16"/>
          <w:szCs w:val="16"/>
        </w:rPr>
        <w:t>, Standard number, date.</w:t>
      </w:r>
    </w:p>
    <w:p w:rsidR="00911954" w:rsidRDefault="00911954" w:rsidP="00911954">
      <w:pPr>
        <w:spacing w:after="0"/>
        <w:rPr>
          <w:sz w:val="16"/>
          <w:szCs w:val="16"/>
        </w:rPr>
      </w:pPr>
      <w:r>
        <w:rPr>
          <w:sz w:val="16"/>
          <w:szCs w:val="16"/>
        </w:rPr>
        <w:t xml:space="preserve">b) </w:t>
      </w:r>
      <w:r>
        <w:rPr>
          <w:i/>
          <w:sz w:val="16"/>
          <w:szCs w:val="16"/>
        </w:rPr>
        <w:t>Title of Standard</w:t>
      </w:r>
      <w:r>
        <w:rPr>
          <w:sz w:val="16"/>
          <w:szCs w:val="16"/>
        </w:rPr>
        <w:t>, Standard number, Corporate author, location, date.</w:t>
      </w:r>
    </w:p>
    <w:p w:rsidR="00911954" w:rsidRDefault="00911954" w:rsidP="00911954">
      <w:pPr>
        <w:pStyle w:val="NoSpacing"/>
      </w:pPr>
    </w:p>
    <w:p w:rsidR="00911954" w:rsidRPr="00D050EC" w:rsidRDefault="00911954" w:rsidP="00911954">
      <w:pPr>
        <w:pStyle w:val="NoSpacing"/>
      </w:pPr>
      <w:r w:rsidRPr="00D050EC">
        <w:t>Basic format for datasets: </w:t>
      </w:r>
    </w:p>
    <w:p w:rsidR="00911954" w:rsidRPr="00D050EC" w:rsidRDefault="00911954" w:rsidP="00911954">
      <w:pPr>
        <w:spacing w:after="0"/>
        <w:rPr>
          <w:sz w:val="16"/>
          <w:szCs w:val="16"/>
        </w:rPr>
      </w:pPr>
      <w:r w:rsidRPr="00D050EC">
        <w:rPr>
          <w:sz w:val="16"/>
          <w:szCs w:val="16"/>
        </w:rPr>
        <w:t>Author,  Date, Year. “Title of Dataset,” distributed by Publisher/Distributor, http://url.com (or if DOI is used, end with a period)</w:t>
      </w:r>
    </w:p>
    <w:p w:rsidR="00911954" w:rsidRDefault="00911954" w:rsidP="00911954">
      <w:pPr>
        <w:pStyle w:val="NoSpacing"/>
      </w:pPr>
    </w:p>
    <w:p w:rsidR="00911954" w:rsidRPr="00D050EC" w:rsidRDefault="00911954" w:rsidP="00911954">
      <w:pPr>
        <w:pStyle w:val="NoSpacing"/>
      </w:pPr>
      <w:r w:rsidRPr="00D050EC">
        <w:t>Basic format for code:</w:t>
      </w:r>
    </w:p>
    <w:p w:rsidR="00911954" w:rsidRPr="001C0B13" w:rsidRDefault="00911954" w:rsidP="00911954">
      <w:pPr>
        <w:spacing w:after="0"/>
        <w:rPr>
          <w:rFonts w:ascii="Times" w:hAnsi="Times" w:cs="Times"/>
          <w:color w:val="000000"/>
          <w:sz w:val="16"/>
          <w:szCs w:val="16"/>
        </w:rPr>
      </w:pPr>
      <w:r w:rsidRPr="00D050EC">
        <w:rPr>
          <w:rFonts w:ascii="Times" w:hAnsi="Times" w:cs="Times"/>
          <w:color w:val="000000"/>
          <w:sz w:val="16"/>
          <w:szCs w:val="16"/>
        </w:rPr>
        <w:t>Author,  Date published or disseminated, Year. “Complete title, including ed./vers.#,” distributed by Publisher/</w:t>
      </w:r>
      <w:r w:rsidRPr="00D050EC">
        <w:rPr>
          <w:sz w:val="16"/>
          <w:szCs w:val="16"/>
        </w:rPr>
        <w:t>Distributor</w:t>
      </w:r>
      <w:r w:rsidRPr="00D050EC">
        <w:rPr>
          <w:rFonts w:ascii="Times" w:hAnsi="Times" w:cs="Times"/>
          <w:color w:val="000000"/>
          <w:sz w:val="16"/>
          <w:szCs w:val="16"/>
        </w:rPr>
        <w:t>, http://url.com (or if DOI is used, end with a period)</w:t>
      </w:r>
    </w:p>
    <w:p w:rsidR="00911954" w:rsidRDefault="00911954" w:rsidP="00911954">
      <w:pPr>
        <w:pStyle w:val="NoSpacing"/>
      </w:pPr>
    </w:p>
    <w:p w:rsidR="00911954" w:rsidRDefault="00911954" w:rsidP="00911954">
      <w:pPr>
        <w:pStyle w:val="NoSpacing"/>
      </w:pPr>
      <w:r>
        <w:t>Examples:</w:t>
      </w:r>
    </w:p>
    <w:p w:rsidR="00911954" w:rsidRPr="00D050EC" w:rsidRDefault="00911954" w:rsidP="00911954">
      <w:pPr>
        <w:numPr>
          <w:ilvl w:val="0"/>
          <w:numId w:val="2"/>
        </w:numPr>
        <w:spacing w:after="0"/>
        <w:ind w:left="357" w:hanging="357"/>
        <w:rPr>
          <w:sz w:val="16"/>
          <w:szCs w:val="16"/>
        </w:rPr>
      </w:pPr>
      <w:r w:rsidRPr="00D050EC">
        <w:rPr>
          <w:sz w:val="16"/>
          <w:szCs w:val="16"/>
        </w:rPr>
        <w:t xml:space="preserve">J. U. Duncombe, “Infrared navigation—Part I: An assessment of feasibility,” </w:t>
      </w:r>
      <w:r w:rsidRPr="00D050EC">
        <w:rPr>
          <w:i/>
          <w:sz w:val="16"/>
          <w:szCs w:val="16"/>
        </w:rPr>
        <w:t>IEEE Trans. Electron Devices</w:t>
      </w:r>
      <w:r w:rsidRPr="00D050EC">
        <w:rPr>
          <w:sz w:val="16"/>
          <w:szCs w:val="16"/>
        </w:rPr>
        <w:t xml:space="preserve">, vol. ED-11, no. 1, pp. 34–39, Jan. 1959, doi: </w:t>
      </w:r>
      <w:r w:rsidRPr="00D050EC">
        <w:rPr>
          <w:rFonts w:eastAsia="Times"/>
          <w:sz w:val="16"/>
          <w:szCs w:val="16"/>
        </w:rPr>
        <w:t>10.1109/TED.2016.2628402</w:t>
      </w:r>
      <w:r w:rsidRPr="00D050EC">
        <w:rPr>
          <w:sz w:val="16"/>
          <w:szCs w:val="16"/>
        </w:rPr>
        <w:t>.</w:t>
      </w:r>
    </w:p>
    <w:p w:rsidR="00911954" w:rsidRDefault="00911954" w:rsidP="00911954">
      <w:pPr>
        <w:numPr>
          <w:ilvl w:val="0"/>
          <w:numId w:val="2"/>
        </w:numPr>
        <w:spacing w:after="0"/>
        <w:ind w:left="357" w:hanging="357"/>
      </w:pPr>
      <w:r>
        <w:rPr>
          <w:sz w:val="16"/>
          <w:szCs w:val="16"/>
        </w:rPr>
        <w:t xml:space="preserve">E. P. Wigner, “Theory of traveling-wave optical laser,” </w:t>
      </w:r>
      <w:r>
        <w:rPr>
          <w:i/>
          <w:sz w:val="16"/>
          <w:szCs w:val="16"/>
        </w:rPr>
        <w:t>Phys. Rev</w:t>
      </w:r>
      <w:r>
        <w:rPr>
          <w:sz w:val="16"/>
          <w:szCs w:val="16"/>
        </w:rPr>
        <w:t>., vol. 134, pp. A635–A646, Dec. 1965.</w:t>
      </w:r>
    </w:p>
    <w:p w:rsidR="00911954" w:rsidRDefault="00911954" w:rsidP="00911954">
      <w:pPr>
        <w:numPr>
          <w:ilvl w:val="0"/>
          <w:numId w:val="2"/>
        </w:numPr>
        <w:spacing w:after="0"/>
        <w:ind w:left="357" w:hanging="357"/>
      </w:pPr>
      <w:r>
        <w:rPr>
          <w:sz w:val="16"/>
          <w:szCs w:val="16"/>
        </w:rPr>
        <w:t xml:space="preserve">P. Kopyt </w:t>
      </w:r>
      <w:r>
        <w:rPr>
          <w:i/>
          <w:sz w:val="16"/>
          <w:szCs w:val="16"/>
        </w:rPr>
        <w:t>et al., “</w:t>
      </w:r>
      <w:r>
        <w:rPr>
          <w:sz w:val="16"/>
          <w:szCs w:val="16"/>
        </w:rPr>
        <w:t xml:space="preserve">Electric properties of graphene-based conductive layers from DC up to terahertz range,” </w:t>
      </w:r>
      <w:r>
        <w:rPr>
          <w:i/>
          <w:sz w:val="16"/>
          <w:szCs w:val="16"/>
        </w:rPr>
        <w:t xml:space="preserve">IEEE THz Sci. Technol., </w:t>
      </w:r>
      <w:r>
        <w:rPr>
          <w:sz w:val="16"/>
          <w:szCs w:val="16"/>
        </w:rPr>
        <w:t xml:space="preserve">to be published, doi: 10.1109/TTHZ.2016.2544142. </w:t>
      </w:r>
      <w:r>
        <w:rPr>
          <w:i/>
          <w:sz w:val="16"/>
          <w:szCs w:val="16"/>
        </w:rPr>
        <w:t>(Note: If a paper is still to be published, but is available in early access, please follow ref [5]).)</w:t>
      </w:r>
    </w:p>
    <w:p w:rsidR="00911954" w:rsidRDefault="00911954" w:rsidP="00911954">
      <w:pPr>
        <w:numPr>
          <w:ilvl w:val="0"/>
          <w:numId w:val="2"/>
        </w:numPr>
        <w:spacing w:after="0"/>
        <w:ind w:left="357" w:hanging="357"/>
        <w:rPr>
          <w:sz w:val="16"/>
          <w:szCs w:val="16"/>
        </w:rPr>
      </w:pPr>
      <w:r>
        <w:rPr>
          <w:sz w:val="16"/>
          <w:szCs w:val="16"/>
        </w:rPr>
        <w:t xml:space="preserve">R. Fardel, M. Nagel, F. Nuesch, T. Lippert, and A. Wokaun, “Fabrication of organic light emitting diode pixels by laser-assisted forward transfer,” </w:t>
      </w:r>
      <w:r>
        <w:rPr>
          <w:i/>
          <w:sz w:val="16"/>
          <w:szCs w:val="16"/>
        </w:rPr>
        <w:t>Appl. Phys. Lett.</w:t>
      </w:r>
      <w:r>
        <w:rPr>
          <w:sz w:val="16"/>
          <w:szCs w:val="16"/>
        </w:rPr>
        <w:t>, vol. 91, no. 6, Aug. 2007, Art. no. 061103. </w:t>
      </w:r>
    </w:p>
    <w:p w:rsidR="00911954" w:rsidRDefault="00911954" w:rsidP="00911954">
      <w:pPr>
        <w:numPr>
          <w:ilvl w:val="0"/>
          <w:numId w:val="2"/>
        </w:numPr>
        <w:spacing w:after="0"/>
        <w:ind w:left="357" w:hanging="357"/>
        <w:rPr>
          <w:sz w:val="16"/>
          <w:szCs w:val="16"/>
        </w:rPr>
      </w:pPr>
      <w:r>
        <w:rPr>
          <w:sz w:val="16"/>
          <w:szCs w:val="16"/>
        </w:rPr>
        <w:t xml:space="preserve">D. Comite and N. Pierdicca, "Decorrelation of the near-specular land scattering in bistatic radar systems," </w:t>
      </w:r>
      <w:r>
        <w:rPr>
          <w:i/>
          <w:sz w:val="16"/>
          <w:szCs w:val="16"/>
        </w:rPr>
        <w:t>IEEE Trans. Geosci. Remote Sens.</w:t>
      </w:r>
      <w:r>
        <w:rPr>
          <w:sz w:val="16"/>
          <w:szCs w:val="16"/>
        </w:rPr>
        <w:t>, early access, doi: 10.1109/TGRS.2021.3072864. (</w:t>
      </w:r>
      <w:r>
        <w:rPr>
          <w:i/>
          <w:sz w:val="16"/>
          <w:szCs w:val="16"/>
        </w:rPr>
        <w:t>Note: This format is used for articles in early access. The doi must be included.)</w:t>
      </w:r>
    </w:p>
    <w:p w:rsidR="00911954" w:rsidRPr="001C0B13" w:rsidRDefault="00911954" w:rsidP="00911954">
      <w:pPr>
        <w:numPr>
          <w:ilvl w:val="0"/>
          <w:numId w:val="2"/>
        </w:numPr>
        <w:spacing w:after="0"/>
        <w:ind w:left="357" w:hanging="357"/>
        <w:rPr>
          <w:sz w:val="16"/>
          <w:szCs w:val="16"/>
        </w:rPr>
      </w:pPr>
      <w:r>
        <w:rPr>
          <w:sz w:val="16"/>
          <w:szCs w:val="16"/>
        </w:rPr>
        <w:t xml:space="preserve">H. V. Habi and H. Messer, "Recurrent neural network for rain estimation using commercial microwave links," </w:t>
      </w:r>
      <w:r>
        <w:rPr>
          <w:i/>
          <w:sz w:val="16"/>
          <w:szCs w:val="16"/>
        </w:rPr>
        <w:t>IEEE Trans. Geosci. Remote Sens.</w:t>
      </w:r>
      <w:r>
        <w:rPr>
          <w:sz w:val="16"/>
          <w:szCs w:val="16"/>
        </w:rPr>
        <w:t>, vol. 59, no. 5, pp. 3672-3681, May 2021. [Online]. Available: https://ieeexplore.ieee.org/document/9153027</w:t>
      </w:r>
    </w:p>
    <w:p w:rsidR="00911954" w:rsidRDefault="00911954" w:rsidP="00911954">
      <w:pPr>
        <w:numPr>
          <w:ilvl w:val="0"/>
          <w:numId w:val="2"/>
        </w:numPr>
        <w:pBdr>
          <w:top w:val="nil"/>
          <w:left w:val="nil"/>
          <w:bottom w:val="nil"/>
          <w:right w:val="nil"/>
          <w:between w:val="nil"/>
        </w:pBdr>
        <w:spacing w:after="0"/>
        <w:ind w:left="357" w:hanging="357"/>
      </w:pPr>
      <w:r>
        <w:rPr>
          <w:color w:val="000000"/>
          <w:sz w:val="16"/>
          <w:szCs w:val="16"/>
        </w:rPr>
        <w:t xml:space="preserve">G. O. Young, “Synthetic structure of industrial plastics,” in </w:t>
      </w:r>
      <w:r>
        <w:rPr>
          <w:i/>
          <w:color w:val="000000"/>
          <w:sz w:val="16"/>
          <w:szCs w:val="16"/>
        </w:rPr>
        <w:t xml:space="preserve">Plastics, </w:t>
      </w:r>
      <w:r>
        <w:rPr>
          <w:color w:val="000000"/>
          <w:sz w:val="16"/>
          <w:szCs w:val="16"/>
        </w:rPr>
        <w:t>2nd ed., vol. 3, J. Peters, Ed. New York, NY, USA: McGraw-Hill, 1964, pp. 15–64.</w:t>
      </w:r>
    </w:p>
    <w:p w:rsidR="00911954" w:rsidRDefault="00911954" w:rsidP="00911954">
      <w:pPr>
        <w:numPr>
          <w:ilvl w:val="0"/>
          <w:numId w:val="2"/>
        </w:numPr>
        <w:pBdr>
          <w:top w:val="nil"/>
          <w:left w:val="nil"/>
          <w:bottom w:val="nil"/>
          <w:right w:val="nil"/>
          <w:between w:val="nil"/>
        </w:pBdr>
        <w:spacing w:after="0"/>
        <w:ind w:left="357" w:hanging="357"/>
        <w:rPr>
          <w:color w:val="000000"/>
          <w:sz w:val="16"/>
          <w:szCs w:val="16"/>
        </w:rPr>
      </w:pPr>
      <w:r>
        <w:rPr>
          <w:color w:val="000000"/>
          <w:sz w:val="16"/>
          <w:szCs w:val="16"/>
        </w:rPr>
        <w:t xml:space="preserve">W.-K. Chen, </w:t>
      </w:r>
      <w:r>
        <w:rPr>
          <w:i/>
          <w:color w:val="000000"/>
          <w:sz w:val="16"/>
          <w:szCs w:val="16"/>
        </w:rPr>
        <w:t xml:space="preserve">Linear Networks and Systems. </w:t>
      </w:r>
      <w:r>
        <w:rPr>
          <w:color w:val="000000"/>
          <w:sz w:val="16"/>
          <w:szCs w:val="16"/>
        </w:rPr>
        <w:t>Belmont, CA, USA: Wadsworth, 1993, pp. 123–135.</w:t>
      </w:r>
    </w:p>
    <w:p w:rsidR="00911954" w:rsidRDefault="00911954" w:rsidP="00911954">
      <w:pPr>
        <w:numPr>
          <w:ilvl w:val="0"/>
          <w:numId w:val="2"/>
        </w:numPr>
        <w:spacing w:after="0"/>
        <w:ind w:left="357" w:hanging="357"/>
      </w:pPr>
      <w:r>
        <w:rPr>
          <w:color w:val="191919"/>
          <w:sz w:val="16"/>
          <w:szCs w:val="16"/>
        </w:rPr>
        <w:t>Philip B. Kurla</w:t>
      </w:r>
      <w:r>
        <w:rPr>
          <w:sz w:val="16"/>
          <w:szCs w:val="16"/>
        </w:rPr>
        <w:t xml:space="preserve">nd and Ralph Lerner, eds., </w:t>
      </w:r>
      <w:r>
        <w:rPr>
          <w:i/>
          <w:sz w:val="16"/>
          <w:szCs w:val="16"/>
        </w:rPr>
        <w:t xml:space="preserve">The Founders’ Constitution. </w:t>
      </w:r>
      <w:r>
        <w:rPr>
          <w:sz w:val="16"/>
          <w:szCs w:val="16"/>
        </w:rPr>
        <w:t xml:space="preserve">Chicago, IL, USA: Univ. of Chicago Press, 1987, Accessed on: Feb. 28, 2010, [Online]. Available: http://press-pubs.uchicago.edu/founders/ </w:t>
      </w:r>
    </w:p>
    <w:p w:rsidR="00911954" w:rsidRDefault="00911954" w:rsidP="00911954">
      <w:pPr>
        <w:numPr>
          <w:ilvl w:val="0"/>
          <w:numId w:val="2"/>
        </w:numPr>
        <w:spacing w:after="0"/>
        <w:ind w:left="360"/>
      </w:pPr>
      <w:r>
        <w:rPr>
          <w:rFonts w:ascii="Times" w:eastAsia="Times" w:hAnsi="Times" w:cs="Times"/>
          <w:i/>
          <w:sz w:val="16"/>
          <w:szCs w:val="16"/>
        </w:rPr>
        <w:t>Transmission Systems for Communications</w:t>
      </w:r>
      <w:r>
        <w:rPr>
          <w:sz w:val="16"/>
          <w:szCs w:val="16"/>
        </w:rPr>
        <w:t>, 3rd ed., Western Electric Co., Winston-Salem, NC, USA, 1985, pp. 44–60.</w:t>
      </w:r>
    </w:p>
    <w:p w:rsidR="00911954" w:rsidRDefault="00911954" w:rsidP="00911954">
      <w:pPr>
        <w:numPr>
          <w:ilvl w:val="0"/>
          <w:numId w:val="2"/>
        </w:numPr>
        <w:spacing w:after="0"/>
        <w:ind w:left="360"/>
      </w:pPr>
      <w:r>
        <w:rPr>
          <w:rFonts w:ascii="Times" w:eastAsia="Times" w:hAnsi="Times" w:cs="Times"/>
          <w:i/>
          <w:sz w:val="16"/>
          <w:szCs w:val="16"/>
        </w:rPr>
        <w:t>Motorola Semiconductor Data Manual</w:t>
      </w:r>
      <w:r>
        <w:rPr>
          <w:sz w:val="16"/>
          <w:szCs w:val="16"/>
        </w:rPr>
        <w:t>, Motorola Semiconductor Products Inc., Phoenix, AZ, USA, 1989.</w:t>
      </w:r>
    </w:p>
    <w:p w:rsidR="00911954" w:rsidRDefault="00911954" w:rsidP="00911954">
      <w:pPr>
        <w:numPr>
          <w:ilvl w:val="0"/>
          <w:numId w:val="2"/>
        </w:numPr>
        <w:spacing w:after="0"/>
        <w:ind w:left="360"/>
        <w:rPr>
          <w:sz w:val="16"/>
          <w:szCs w:val="16"/>
        </w:rPr>
      </w:pPr>
      <w:r>
        <w:rPr>
          <w:sz w:val="16"/>
          <w:szCs w:val="16"/>
        </w:rPr>
        <w:t xml:space="preserve">R. J. Hijmans and J. van Etten, “Raster: Geographic analysis and modeling with raster data,” R Package Version 2.0-12, Jan. 12, 2012. [Online]. Available: </w:t>
      </w:r>
      <w:r>
        <w:rPr>
          <w:sz w:val="16"/>
          <w:szCs w:val="16"/>
          <w:u w:val="single"/>
        </w:rPr>
        <w:t xml:space="preserve">http://CRAN.R-project.org/package=raster </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E. E. Reber, R. L. Michell, and C. J. Carter, “Oxygen absorption in the earth’s atmosphere,” Aerospace Corp., Los Angeles, CA, USA, Tech. Rep. TR-0200 (4230-46)-3, Nov. 1988.</w:t>
      </w:r>
    </w:p>
    <w:p w:rsidR="00911954" w:rsidRDefault="00911954" w:rsidP="00911954">
      <w:pPr>
        <w:numPr>
          <w:ilvl w:val="0"/>
          <w:numId w:val="2"/>
        </w:numPr>
        <w:spacing w:after="0"/>
        <w:ind w:left="360"/>
      </w:pPr>
      <w:r>
        <w:rPr>
          <w:sz w:val="16"/>
          <w:szCs w:val="16"/>
        </w:rPr>
        <w:t xml:space="preserve">D. B. Payne and J. R. Stern, “Wavelength-switched passively coupled single-mode optical network,” in </w:t>
      </w:r>
      <w:r>
        <w:rPr>
          <w:i/>
          <w:sz w:val="16"/>
          <w:szCs w:val="16"/>
        </w:rPr>
        <w:t xml:space="preserve">Proc. IOOC-ECOC, </w:t>
      </w:r>
      <w:r>
        <w:rPr>
          <w:sz w:val="16"/>
          <w:szCs w:val="16"/>
        </w:rPr>
        <w:t>Boston, MA, USA,</w:t>
      </w:r>
      <w:r>
        <w:rPr>
          <w:i/>
          <w:sz w:val="16"/>
          <w:szCs w:val="16"/>
        </w:rPr>
        <w:t xml:space="preserve"> </w:t>
      </w:r>
      <w:r>
        <w:rPr>
          <w:sz w:val="16"/>
          <w:szCs w:val="16"/>
        </w:rPr>
        <w:t>1985, pp. 585–590.</w:t>
      </w:r>
    </w:p>
    <w:p w:rsidR="00911954" w:rsidRDefault="00911954" w:rsidP="00911954">
      <w:pPr>
        <w:numPr>
          <w:ilvl w:val="0"/>
          <w:numId w:val="2"/>
        </w:numPr>
        <w:spacing w:after="0"/>
        <w:ind w:left="360"/>
      </w:pPr>
      <w:r>
        <w:rPr>
          <w:sz w:val="16"/>
          <w:szCs w:val="16"/>
        </w:rPr>
        <w:lastRenderedPageBreak/>
        <w:t>D. Ebehard and E. Voges, “Digital single sideband detection for interferometric sensors,” presented at the 2nd Int. Conf. Optical Fiber Sensors</w:t>
      </w:r>
      <w:r>
        <w:rPr>
          <w:i/>
          <w:sz w:val="16"/>
          <w:szCs w:val="16"/>
        </w:rPr>
        <w:t xml:space="preserve">, </w:t>
      </w:r>
      <w:r>
        <w:rPr>
          <w:sz w:val="16"/>
          <w:szCs w:val="16"/>
        </w:rPr>
        <w:t>Stuttgart, Germany, Jan. 2-5, 1984.</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PROCESS Corporation, Boston, MA, USA. Intranets: Internet technologies deployed behind the firewall for corporate productivity. Presented at INET96 Annual Meeting. [Online]. Available:  http://home.process.com/Intranets/wp2.htp</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 xml:space="preserve">U.S. House. 102nd Congress, 1st Session. (1991, Jan. 11). </w:t>
      </w:r>
      <w:r>
        <w:rPr>
          <w:i/>
          <w:color w:val="000000"/>
          <w:sz w:val="16"/>
          <w:szCs w:val="16"/>
        </w:rPr>
        <w:t>H. Con. Res. 1, Sense of the Congress on Approval of Military Action</w:t>
      </w:r>
      <w:r>
        <w:rPr>
          <w:color w:val="000000"/>
          <w:sz w:val="16"/>
          <w:szCs w:val="16"/>
        </w:rPr>
        <w:t xml:space="preserve">. [Online]. Available: LEXIS Library: GENFED File: BILLS </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G. Brandli and M. Dick, “Alternating current fed power supply,” U.S. Patent 4 084 217, Nov. 4, 1978.</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J. O. Williams, “Narrow-band analyzer,” Ph.D. dissertation, Dept. Elect. Eng., Harvard Univ., Cambridge, MA, USA, 1993.</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N. Kawasaki, “Parametric study of thermal and chemical nonequilibrium nozzle flow,” M.S. thesis, Dept. Electron. Eng., Osaka Univ., Osaka, Japan, 1993.</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A. Harrison, private communication, May 1995.</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B. Smith, “An approach to graphs of linear forms,” 2014</w:t>
      </w:r>
      <w:r>
        <w:rPr>
          <w:sz w:val="16"/>
          <w:szCs w:val="16"/>
        </w:rPr>
        <w:t>,</w:t>
      </w:r>
      <w:r>
        <w:rPr>
          <w:color w:val="000000"/>
          <w:sz w:val="16"/>
          <w:szCs w:val="16"/>
        </w:rPr>
        <w:t xml:space="preserve"> </w:t>
      </w:r>
      <w:r>
        <w:rPr>
          <w:i/>
          <w:sz w:val="16"/>
          <w:szCs w:val="16"/>
        </w:rPr>
        <w:t>arXiv:2105.02824</w:t>
      </w:r>
      <w:r>
        <w:rPr>
          <w:sz w:val="16"/>
          <w:szCs w:val="16"/>
        </w:rPr>
        <w:t>.</w:t>
      </w:r>
    </w:p>
    <w:p w:rsidR="00911954" w:rsidRDefault="00911954" w:rsidP="00911954">
      <w:pPr>
        <w:numPr>
          <w:ilvl w:val="0"/>
          <w:numId w:val="2"/>
        </w:numPr>
        <w:pBdr>
          <w:top w:val="nil"/>
          <w:left w:val="nil"/>
          <w:bottom w:val="nil"/>
          <w:right w:val="nil"/>
          <w:between w:val="nil"/>
        </w:pBdr>
        <w:spacing w:after="0"/>
        <w:ind w:left="360"/>
      </w:pPr>
      <w:r>
        <w:rPr>
          <w:color w:val="000000"/>
          <w:sz w:val="16"/>
          <w:szCs w:val="16"/>
        </w:rPr>
        <w:t>A. Brahms, “Representation error for real numbers in binary computer arithmetic,” IEEE Computer Group Repository, Paper R-67-85.</w:t>
      </w:r>
    </w:p>
    <w:p w:rsidR="00911954" w:rsidRDefault="00911954" w:rsidP="00911954">
      <w:pPr>
        <w:numPr>
          <w:ilvl w:val="0"/>
          <w:numId w:val="2"/>
        </w:numPr>
        <w:pBdr>
          <w:top w:val="nil"/>
          <w:left w:val="nil"/>
          <w:bottom w:val="nil"/>
          <w:right w:val="nil"/>
          <w:between w:val="nil"/>
        </w:pBdr>
        <w:spacing w:after="0"/>
        <w:ind w:left="360"/>
        <w:rPr>
          <w:color w:val="000000"/>
          <w:sz w:val="16"/>
          <w:szCs w:val="16"/>
        </w:rPr>
      </w:pPr>
      <w:r>
        <w:rPr>
          <w:color w:val="000000"/>
          <w:sz w:val="16"/>
          <w:szCs w:val="16"/>
        </w:rPr>
        <w:t>IEEE Criteria for Class IE Electric Systems, IEEE Standard 308, 1969.</w:t>
      </w:r>
    </w:p>
    <w:p w:rsidR="00911954" w:rsidRPr="00D050EC" w:rsidRDefault="00911954" w:rsidP="00911954">
      <w:pPr>
        <w:numPr>
          <w:ilvl w:val="0"/>
          <w:numId w:val="2"/>
        </w:numPr>
        <w:pBdr>
          <w:top w:val="nil"/>
          <w:left w:val="nil"/>
          <w:bottom w:val="nil"/>
          <w:right w:val="nil"/>
          <w:between w:val="nil"/>
        </w:pBdr>
        <w:spacing w:after="0"/>
        <w:ind w:left="360"/>
        <w:rPr>
          <w:color w:val="000000"/>
        </w:rPr>
      </w:pPr>
      <w:r w:rsidRPr="00932FBA">
        <w:rPr>
          <w:color w:val="000000"/>
          <w:sz w:val="16"/>
          <w:szCs w:val="16"/>
        </w:rPr>
        <w:t>Letter Symbols for Quantities, ANSI Standard Y10.5-1968.</w:t>
      </w:r>
    </w:p>
    <w:p w:rsidR="00911954" w:rsidRPr="00D050EC" w:rsidRDefault="00911954" w:rsidP="00911954">
      <w:pPr>
        <w:numPr>
          <w:ilvl w:val="0"/>
          <w:numId w:val="2"/>
        </w:numPr>
        <w:pBdr>
          <w:top w:val="nil"/>
          <w:left w:val="nil"/>
          <w:bottom w:val="nil"/>
          <w:right w:val="nil"/>
          <w:between w:val="nil"/>
        </w:pBdr>
        <w:spacing w:after="0"/>
        <w:ind w:left="360"/>
        <w:rPr>
          <w:sz w:val="16"/>
          <w:szCs w:val="16"/>
        </w:rPr>
      </w:pPr>
      <w:r w:rsidRPr="00D050EC">
        <w:rPr>
          <w:sz w:val="16"/>
          <w:szCs w:val="16"/>
        </w:rPr>
        <w:t xml:space="preserve">U.S. Department of Health and Human Services, Aug. 2013, “Treatment Episode Dataset: Discharges (TEDS-D): Concatenated, 2006 to 2009,” U.S. </w:t>
      </w:r>
      <w:r w:rsidRPr="00D050EC">
        <w:rPr>
          <w:color w:val="000000"/>
          <w:sz w:val="16"/>
          <w:szCs w:val="16"/>
        </w:rPr>
        <w:t>Department</w:t>
      </w:r>
      <w:r w:rsidRPr="00D050EC">
        <w:rPr>
          <w:sz w:val="16"/>
          <w:szCs w:val="16"/>
        </w:rPr>
        <w:t xml:space="preserve"> of Health and Human Services, Substance Abuse and Mental Health Services Administration, Office of Applied Studies, doi: 10.3886/ICPSR30122.v2.</w:t>
      </w:r>
    </w:p>
    <w:p w:rsidR="00911954" w:rsidRPr="006B09E9" w:rsidRDefault="00911954" w:rsidP="00911954">
      <w:pPr>
        <w:numPr>
          <w:ilvl w:val="0"/>
          <w:numId w:val="2"/>
        </w:numPr>
        <w:pBdr>
          <w:top w:val="nil"/>
          <w:left w:val="nil"/>
          <w:bottom w:val="nil"/>
          <w:right w:val="nil"/>
          <w:between w:val="nil"/>
        </w:pBdr>
        <w:spacing w:after="0"/>
        <w:ind w:left="360"/>
        <w:rPr>
          <w:sz w:val="16"/>
          <w:szCs w:val="16"/>
        </w:rPr>
      </w:pPr>
      <w:r w:rsidRPr="00D050EC">
        <w:rPr>
          <w:rFonts w:ascii="Times" w:hAnsi="Times" w:cs="Times"/>
          <w:color w:val="000000"/>
          <w:sz w:val="16"/>
          <w:szCs w:val="16"/>
        </w:rPr>
        <w:t>T. D’Martin and S. Soares, 2019, “Code for Assessment of Markov Decision Processes in Long-Term Hydrothermal Scheduling of Single-Reservoir Systems (Version 1.0),” Code Ocean, doi: _1.24433/CO.7212286.v1</w:t>
      </w:r>
    </w:p>
    <w:p w:rsidR="00911954" w:rsidRDefault="00911954" w:rsidP="00911954">
      <w:pPr>
        <w:pBdr>
          <w:top w:val="nil"/>
          <w:left w:val="nil"/>
          <w:bottom w:val="nil"/>
          <w:right w:val="nil"/>
          <w:between w:val="nil"/>
        </w:pBdr>
        <w:spacing w:after="0"/>
        <w:rPr>
          <w:rFonts w:ascii="Times" w:hAnsi="Times" w:cs="Times"/>
          <w:color w:val="000000"/>
          <w:sz w:val="16"/>
          <w:szCs w:val="16"/>
        </w:rPr>
      </w:pPr>
    </w:p>
    <w:p w:rsidR="00C667D7" w:rsidRPr="00C667D7" w:rsidRDefault="00C667D7" w:rsidP="00C667D7"/>
    <w:sectPr w:rsidR="00C667D7" w:rsidRPr="00C667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17FF"/>
    <w:multiLevelType w:val="multilevel"/>
    <w:tmpl w:val="82E03A2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42315204">
    <w:abstractNumId w:val="0"/>
  </w:num>
  <w:num w:numId="2" w16cid:durableId="107092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5B"/>
    <w:rsid w:val="000E505B"/>
    <w:rsid w:val="00253688"/>
    <w:rsid w:val="002725A8"/>
    <w:rsid w:val="002D7F43"/>
    <w:rsid w:val="003A47C6"/>
    <w:rsid w:val="005A5DDC"/>
    <w:rsid w:val="005A6E1B"/>
    <w:rsid w:val="00716230"/>
    <w:rsid w:val="007B5BAA"/>
    <w:rsid w:val="00805458"/>
    <w:rsid w:val="00853C51"/>
    <w:rsid w:val="009066A2"/>
    <w:rsid w:val="00911954"/>
    <w:rsid w:val="00C667D7"/>
    <w:rsid w:val="00CE46A3"/>
    <w:rsid w:val="00EC4E7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49C8"/>
  <w15:chartTrackingRefBased/>
  <w15:docId w15:val="{365DCCBD-AFAA-B943-826A-97286FA7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1B"/>
    <w:pPr>
      <w:spacing w:after="160"/>
      <w:jc w:val="both"/>
    </w:pPr>
    <w:rPr>
      <w:rFonts w:asciiTheme="majorBidi" w:hAnsiTheme="majorBidi"/>
      <w:sz w:val="18"/>
    </w:rPr>
  </w:style>
  <w:style w:type="paragraph" w:styleId="Heading1">
    <w:name w:val="heading 1"/>
    <w:basedOn w:val="Normal"/>
    <w:next w:val="Normal"/>
    <w:link w:val="Heading1Char"/>
    <w:uiPriority w:val="9"/>
    <w:qFormat/>
    <w:rsid w:val="005A6E1B"/>
    <w:pPr>
      <w:keepNext/>
      <w:keepLines/>
      <w:numPr>
        <w:numId w:val="1"/>
      </w:numPr>
      <w:spacing w:before="240" w:after="0"/>
      <w:outlineLvl w:val="0"/>
    </w:pPr>
    <w:rPr>
      <w:rFonts w:eastAsiaTheme="majorEastAsia" w:cstheme="majorBidi"/>
      <w:b/>
      <w:bCs/>
      <w:sz w:val="22"/>
      <w:szCs w:val="22"/>
    </w:rPr>
  </w:style>
  <w:style w:type="paragraph" w:styleId="Heading2">
    <w:name w:val="heading 2"/>
    <w:basedOn w:val="Normal"/>
    <w:next w:val="Normal"/>
    <w:link w:val="Heading2Char"/>
    <w:uiPriority w:val="9"/>
    <w:semiHidden/>
    <w:unhideWhenUsed/>
    <w:qFormat/>
    <w:rsid w:val="005A6E1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6E1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5A6E1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6E1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6E1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6E1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6E1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6E1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3688"/>
    <w:pPr>
      <w:spacing w:after="0"/>
      <w:contextualSpacing/>
    </w:pPr>
    <w:rPr>
      <w:rFonts w:eastAsiaTheme="majorEastAsia" w:cstheme="majorBidi"/>
      <w:spacing w:val="-10"/>
      <w:kern w:val="28"/>
      <w:sz w:val="48"/>
      <w:szCs w:val="48"/>
    </w:rPr>
  </w:style>
  <w:style w:type="character" w:customStyle="1" w:styleId="TitleChar">
    <w:name w:val="Title Char"/>
    <w:basedOn w:val="DefaultParagraphFont"/>
    <w:link w:val="Title"/>
    <w:uiPriority w:val="10"/>
    <w:rsid w:val="00253688"/>
    <w:rPr>
      <w:rFonts w:asciiTheme="majorBidi" w:eastAsiaTheme="majorEastAsia" w:hAnsiTheme="majorBidi" w:cstheme="majorBidi"/>
      <w:spacing w:val="-10"/>
      <w:kern w:val="28"/>
      <w:sz w:val="48"/>
      <w:szCs w:val="48"/>
    </w:rPr>
  </w:style>
  <w:style w:type="table" w:styleId="TableGrid">
    <w:name w:val="Table Grid"/>
    <w:basedOn w:val="TableNormal"/>
    <w:uiPriority w:val="39"/>
    <w:rsid w:val="005A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6E1B"/>
    <w:rPr>
      <w:rFonts w:asciiTheme="majorBidi" w:eastAsiaTheme="majorEastAsia" w:hAnsiTheme="majorBidi" w:cstheme="majorBidi"/>
      <w:b/>
      <w:bCs/>
      <w:sz w:val="22"/>
      <w:szCs w:val="22"/>
    </w:rPr>
  </w:style>
  <w:style w:type="character" w:customStyle="1" w:styleId="Heading2Char">
    <w:name w:val="Heading 2 Char"/>
    <w:basedOn w:val="DefaultParagraphFont"/>
    <w:link w:val="Heading2"/>
    <w:uiPriority w:val="9"/>
    <w:semiHidden/>
    <w:rsid w:val="005A6E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6E1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A6E1B"/>
    <w:rPr>
      <w:rFonts w:asciiTheme="majorHAnsi" w:eastAsiaTheme="majorEastAsia" w:hAnsiTheme="majorHAnsi" w:cstheme="majorBidi"/>
      <w:i/>
      <w:iCs/>
      <w:color w:val="2F5496" w:themeColor="accent1" w:themeShade="BF"/>
      <w:sz w:val="18"/>
    </w:rPr>
  </w:style>
  <w:style w:type="character" w:customStyle="1" w:styleId="Heading5Char">
    <w:name w:val="Heading 5 Char"/>
    <w:basedOn w:val="DefaultParagraphFont"/>
    <w:link w:val="Heading5"/>
    <w:uiPriority w:val="9"/>
    <w:semiHidden/>
    <w:rsid w:val="005A6E1B"/>
    <w:rPr>
      <w:rFonts w:asciiTheme="majorHAnsi" w:eastAsiaTheme="majorEastAsia" w:hAnsiTheme="majorHAnsi" w:cstheme="majorBidi"/>
      <w:color w:val="2F5496" w:themeColor="accent1" w:themeShade="BF"/>
      <w:sz w:val="18"/>
    </w:rPr>
  </w:style>
  <w:style w:type="character" w:customStyle="1" w:styleId="Heading6Char">
    <w:name w:val="Heading 6 Char"/>
    <w:basedOn w:val="DefaultParagraphFont"/>
    <w:link w:val="Heading6"/>
    <w:uiPriority w:val="9"/>
    <w:semiHidden/>
    <w:rsid w:val="005A6E1B"/>
    <w:rPr>
      <w:rFonts w:asciiTheme="majorHAnsi" w:eastAsiaTheme="majorEastAsia" w:hAnsiTheme="majorHAnsi" w:cstheme="majorBidi"/>
      <w:color w:val="1F3763" w:themeColor="accent1" w:themeShade="7F"/>
      <w:sz w:val="18"/>
    </w:rPr>
  </w:style>
  <w:style w:type="character" w:customStyle="1" w:styleId="Heading7Char">
    <w:name w:val="Heading 7 Char"/>
    <w:basedOn w:val="DefaultParagraphFont"/>
    <w:link w:val="Heading7"/>
    <w:uiPriority w:val="9"/>
    <w:semiHidden/>
    <w:rsid w:val="005A6E1B"/>
    <w:rPr>
      <w:rFonts w:asciiTheme="majorHAnsi" w:eastAsiaTheme="majorEastAsia" w:hAnsiTheme="majorHAnsi" w:cstheme="majorBidi"/>
      <w:i/>
      <w:iCs/>
      <w:color w:val="1F3763" w:themeColor="accent1" w:themeShade="7F"/>
      <w:sz w:val="18"/>
    </w:rPr>
  </w:style>
  <w:style w:type="character" w:customStyle="1" w:styleId="Heading8Char">
    <w:name w:val="Heading 8 Char"/>
    <w:basedOn w:val="DefaultParagraphFont"/>
    <w:link w:val="Heading8"/>
    <w:uiPriority w:val="9"/>
    <w:semiHidden/>
    <w:rsid w:val="005A6E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6E1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5A6E1B"/>
    <w:rPr>
      <w:rFonts w:asciiTheme="majorBidi" w:hAnsiTheme="majorBidi"/>
      <w:sz w:val="18"/>
      <w:szCs w:val="20"/>
      <w:lang w:val="en-US"/>
    </w:rPr>
  </w:style>
  <w:style w:type="paragraph" w:styleId="Caption">
    <w:name w:val="caption"/>
    <w:basedOn w:val="Normal"/>
    <w:next w:val="Normal"/>
    <w:uiPriority w:val="35"/>
    <w:unhideWhenUsed/>
    <w:qFormat/>
    <w:rsid w:val="005A6E1B"/>
    <w:pPr>
      <w:spacing w:after="200"/>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Universitas Islam Negeri Sultan Syarif Kasim Riau</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affandes@protonmail.com</dc:creator>
  <cp:keywords/>
  <dc:description/>
  <cp:lastModifiedBy>affandes@protonmail.com</cp:lastModifiedBy>
  <cp:revision>14</cp:revision>
  <dcterms:created xsi:type="dcterms:W3CDTF">2024-01-01T14:21:00Z</dcterms:created>
  <dcterms:modified xsi:type="dcterms:W3CDTF">2024-01-21T02:39:00Z</dcterms:modified>
</cp:coreProperties>
</file>